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rPr>
          <w:b/>
        </w:rPr>
      </w:pPr>
      <w:r>
        <w:rPr>
          <w:b/>
        </w:rPr>
        <w:t>BAN CHỈ ĐẠO PCGD, XMC</w:t>
      </w:r>
    </w:p>
    <w:p>
      <w:pPr>
        <w:spacing w:after="0" w:line="240" w:lineRule="auto"/>
      </w:pPr>
      <w:r>
        <w:rPr>
          <w:b/>
        </w:rPr>
        <w:t xml:space="preserve">        XÃ HƯƠNG SƠN</w:t>
      </w:r>
    </w:p>
    <w:p>
      <w:pPr>
        <w:pStyle w:val="Title"/>
        <w:jc w:val="center"/>
      </w:pPr>
      <w:r>
        <w:rPr>
          <w:rFonts w:cs="Times New Roman"/>
          <w:noProof/>
          <w:szCs w:val="28"/>
        </w:rPr>
        <mc:AlternateContent>
          <mc:Choice Requires="wps">
            <w:drawing>
              <wp:anchor distT="4294967295" distB="4294967295" distL="114300" distR="114300" simplePos="0" relativeHeight="251659776" behindDoc="0" locked="0" layoutInCell="1" allowOverlap="1">
                <wp:simplePos x="0" y="0"/>
                <wp:positionH relativeFrom="column">
                  <wp:posOffset>492125</wp:posOffset>
                </wp:positionH>
                <wp:positionV relativeFrom="paragraph">
                  <wp:posOffset>3480</wp:posOffset>
                </wp:positionV>
                <wp:extent cx="638175" cy="0"/>
                <wp:effectExtent l="0" t="0" r="0" b="0"/>
                <wp:wrapNone/>
                <wp:docPr id="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75pt,.25pt" to="8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1nxGw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"/>
            </w:pict>
          </mc:Fallback>
        </mc:AlternateContent>
      </w:r>
    </w:p>
    <w:p>
      <w:pPr>
        <w:pStyle w:val="Title"/>
        <w:spacing w:after="0" w:line="360" w:lineRule="exact"/>
        <w:jc w:val="center"/>
      </w:pPr>
      <w:r>
        <w:rPr>
          <w:rFonts w:cs="Times New Roman"/>
          <w:noProof/>
          <w:szCs w:val="28"/>
        </w:rPr>
        <mc:AlternateContent>
          <mc:Choice Requires="wps">
            <w:drawing>
              <wp:anchor distT="4294967295" distB="4294967295" distL="114300" distR="114300" simplePos="0" relativeHeight="251660800" behindDoc="0" locked="0" layoutInCell="1" allowOverlap="1">
                <wp:simplePos x="0" y="0"/>
                <wp:positionH relativeFrom="column">
                  <wp:posOffset>2646045</wp:posOffset>
                </wp:positionH>
                <wp:positionV relativeFrom="paragraph">
                  <wp:posOffset>661340</wp:posOffset>
                </wp:positionV>
                <wp:extent cx="638175" cy="0"/>
                <wp:effectExtent l="0" t="0" r="0" b="0"/>
                <wp:wrapNone/>
                <wp:docPr id="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8.35pt,52.05pt" to="258.6pt,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zXAGw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"/>
            </w:pict>
          </mc:Fallback>
        </mc:AlternateContent>
      </w:r>
      <w:r>
        <w:t>PHÂN CÔNG XÂY DỰNG VÀ HOÀN THIỆN</w:t>
      </w:r>
      <w:r>
        <w:br/>
        <w:t>SỐ LIỆU HỒ SƠ PHỔ CẬP GIÁO DỤC</w:t>
      </w:r>
      <w:r>
        <w:br/>
        <w:t>XÓA MÙ CHỮ NĂM 2026</w:t>
      </w:r>
    </w:p>
    <w:p>
      <w:pPr>
        <w:spacing w:after="0" w:line="360" w:lineRule="exact"/>
      </w:pPr>
    </w:p>
    <w:p>
      <w:pPr>
        <w:spacing w:after="0" w:line="360" w:lineRule="exact"/>
        <w:ind w:firstLine="720"/>
        <w:jc w:val="both"/>
      </w:pPr>
      <w:r>
        <w:t>Để hoàn thiện số liệu, tổ chức tự kiểm tra và lập hồ sơ đề nghị kiểm tra, công nhận kết quả phổ cập giáo dục, xóa mù chữ (PCGD, XMC) năm 2026, Ban Chỉ đạo PCGD, XMC xã Hương Sơn phân công nhiệm vụ như sau:</w:t>
      </w:r>
    </w:p>
    <w:p>
      <w:pPr>
        <w:pStyle w:val="Heading1"/>
        <w:spacing w:before="0" w:after="0" w:line="360" w:lineRule="exact"/>
        <w:ind w:firstLine="720"/>
        <w:jc w:val="both"/>
      </w:pPr>
      <w:r>
        <w:t>I. HỒ SƠ CHỈ ĐẠO VÀ HỒ SƠ CHUNG</w:t>
      </w:r>
    </w:p>
    <w:p>
      <w:pPr>
        <w:spacing w:after="0" w:line="360" w:lineRule="exact"/>
        <w:ind w:firstLine="720"/>
        <w:jc w:val="both"/>
      </w:pPr>
      <w:r>
        <w:t>Các đơn vị chuẩn bị tài liệu theo phân công dưới đây; Phòng Văn hóa – Xã hội tiếp nhận, rà soát, hoàn thiện hồ sơ trình cấp có thẩm quyền.</w:t>
      </w:r>
    </w:p>
    <w:tbl>
      <w:tblPr>
        <w:tblW w:w="9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272"/>
        <w:gridCol w:w="3572"/>
      </w:tblGrid>
      <w:tr>
        <w:trPr>
          <w:cantSplit/>
          <w:tblHeader/>
          <w:jc w:val="center"/>
        </w:trPr>
        <w:tc>
          <w:tcPr>
            <w:tcW w:w="709" w:type="dxa"/>
            <w:shd w:val="clear" w:color="auto" w:fill="EDEDED"/>
            <w:tcMar>
              <w:top w:w="80" w:type="dxa"/>
              <w:left w:w="80" w:type="dxa"/>
              <w:bottom w:w="80" w:type="dxa"/>
              <w:right w:w="80" w:type="dxa"/>
            </w:tcMar>
            <w:vAlign w:val="center"/>
          </w:tcPr>
          <w:p>
            <w:pPr>
              <w:spacing w:after="0" w:line="360" w:lineRule="exact"/>
              <w:jc w:val="center"/>
            </w:pPr>
            <w:r>
              <w:rPr>
                <w:b/>
                <w:sz w:val="24"/>
              </w:rPr>
              <w:t>TT</w:t>
            </w:r>
          </w:p>
        </w:tc>
        <w:tc>
          <w:tcPr>
            <w:tcW w:w="5272" w:type="dxa"/>
            <w:shd w:val="clear" w:color="auto" w:fill="EDEDED"/>
            <w:tcMar>
              <w:top w:w="80" w:type="dxa"/>
              <w:left w:w="80" w:type="dxa"/>
              <w:bottom w:w="80" w:type="dxa"/>
              <w:right w:w="80" w:type="dxa"/>
            </w:tcMar>
            <w:vAlign w:val="center"/>
          </w:tcPr>
          <w:p>
            <w:pPr>
              <w:spacing w:after="0" w:line="360" w:lineRule="exact"/>
              <w:jc w:val="center"/>
            </w:pPr>
            <w:r>
              <w:rPr>
                <w:b/>
                <w:sz w:val="24"/>
              </w:rPr>
              <w:t>Nội dung hồ sơ</w:t>
            </w:r>
          </w:p>
        </w:tc>
        <w:tc>
          <w:tcPr>
            <w:tcW w:w="3572" w:type="dxa"/>
            <w:shd w:val="clear" w:color="auto" w:fill="EDEDED"/>
            <w:tcMar>
              <w:top w:w="80" w:type="dxa"/>
              <w:left w:w="80" w:type="dxa"/>
              <w:bottom w:w="80" w:type="dxa"/>
              <w:right w:w="80" w:type="dxa"/>
            </w:tcMar>
            <w:vAlign w:val="center"/>
          </w:tcPr>
          <w:p>
            <w:pPr>
              <w:spacing w:after="0" w:line="360" w:lineRule="exact"/>
              <w:jc w:val="both"/>
            </w:pPr>
            <w:r>
              <w:rPr>
                <w:b/>
                <w:sz w:val="24"/>
              </w:rPr>
              <w:t>Đơn vị chủ trì và phối hợp</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1</w:t>
            </w:r>
          </w:p>
        </w:tc>
        <w:tc>
          <w:tcPr>
            <w:tcW w:w="5272" w:type="dxa"/>
            <w:tcMar>
              <w:top w:w="80" w:type="dxa"/>
              <w:left w:w="80" w:type="dxa"/>
              <w:bottom w:w="80" w:type="dxa"/>
              <w:right w:w="80" w:type="dxa"/>
            </w:tcMar>
            <w:vAlign w:val="center"/>
          </w:tcPr>
          <w:p>
            <w:pPr>
              <w:spacing w:after="0" w:line="360" w:lineRule="exact"/>
            </w:pPr>
            <w:r>
              <w:rPr>
                <w:sz w:val="24"/>
              </w:rPr>
              <w:t>Quyết định kiện toàn Ban Chỉ đạo; thông báo phân công nhiệm vụ các thành viên Ban Chỉ đạo PCGD, XMC xã Hương Sơn giai đoạn 2025–2030.</w:t>
            </w:r>
          </w:p>
        </w:tc>
        <w:tc>
          <w:tcPr>
            <w:tcW w:w="3572" w:type="dxa"/>
            <w:tcMar>
              <w:top w:w="80" w:type="dxa"/>
              <w:left w:w="80" w:type="dxa"/>
              <w:bottom w:w="80" w:type="dxa"/>
              <w:right w:w="80" w:type="dxa"/>
            </w:tcMar>
            <w:vAlign w:val="center"/>
          </w:tcPr>
          <w:p>
            <w:pPr>
              <w:spacing w:after="0" w:line="360" w:lineRule="exact"/>
              <w:jc w:val="both"/>
            </w:pPr>
            <w:r>
              <w:rPr>
                <w:sz w:val="24"/>
              </w:rPr>
              <w:t>Phòng Văn hóa- Xã hội tham mưu, tập hợp.</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2</w:t>
            </w:r>
          </w:p>
        </w:tc>
        <w:tc>
          <w:tcPr>
            <w:tcW w:w="5272" w:type="dxa"/>
            <w:tcMar>
              <w:top w:w="80" w:type="dxa"/>
              <w:left w:w="80" w:type="dxa"/>
              <w:bottom w:w="80" w:type="dxa"/>
              <w:right w:w="80" w:type="dxa"/>
            </w:tcMar>
            <w:vAlign w:val="center"/>
          </w:tcPr>
          <w:p>
            <w:pPr>
              <w:spacing w:after="0" w:line="360" w:lineRule="exact"/>
            </w:pPr>
            <w:r>
              <w:rPr>
                <w:sz w:val="24"/>
              </w:rPr>
              <w:t>Kế hoạch thực hiện công tác PCGD, XMC năm 2026 và các văn bản chỉ đạo, hướng dẫn có liên quan.</w:t>
            </w:r>
          </w:p>
        </w:tc>
        <w:tc>
          <w:tcPr>
            <w:tcW w:w="3572" w:type="dxa"/>
            <w:tcMar>
              <w:top w:w="80" w:type="dxa"/>
              <w:left w:w="80" w:type="dxa"/>
              <w:bottom w:w="80" w:type="dxa"/>
              <w:right w:w="80" w:type="dxa"/>
            </w:tcMar>
            <w:vAlign w:val="center"/>
          </w:tcPr>
          <w:p>
            <w:pPr>
              <w:spacing w:after="0" w:line="360" w:lineRule="exact"/>
              <w:jc w:val="both"/>
            </w:pPr>
            <w:r>
              <w:rPr>
                <w:sz w:val="24"/>
              </w:rPr>
              <w:t>Phòng Văn hóa -Xã hội tập hợp, hoàn thiện.</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3</w:t>
            </w:r>
          </w:p>
        </w:tc>
        <w:tc>
          <w:tcPr>
            <w:tcW w:w="5272" w:type="dxa"/>
            <w:tcMar>
              <w:top w:w="80" w:type="dxa"/>
              <w:left w:w="80" w:type="dxa"/>
              <w:bottom w:w="80" w:type="dxa"/>
              <w:right w:w="80" w:type="dxa"/>
            </w:tcMar>
            <w:vAlign w:val="center"/>
          </w:tcPr>
          <w:p>
            <w:pPr>
              <w:spacing w:after="0" w:line="360" w:lineRule="exact"/>
            </w:pPr>
            <w:r>
              <w:rPr>
                <w:sz w:val="24"/>
              </w:rPr>
              <w:t>Quyết định thành lập đoàn tự kiểm tra kết quả PCGD, XMC năm 2026 của xã.</w:t>
            </w:r>
          </w:p>
        </w:tc>
        <w:tc>
          <w:tcPr>
            <w:tcW w:w="3572" w:type="dxa"/>
            <w:tcMar>
              <w:top w:w="80" w:type="dxa"/>
              <w:left w:w="80" w:type="dxa"/>
              <w:bottom w:w="80" w:type="dxa"/>
              <w:right w:w="80" w:type="dxa"/>
            </w:tcMar>
            <w:vAlign w:val="center"/>
          </w:tcPr>
          <w:p>
            <w:pPr>
              <w:spacing w:after="0" w:line="360" w:lineRule="exact"/>
              <w:jc w:val="both"/>
            </w:pPr>
            <w:r>
              <w:rPr>
                <w:sz w:val="24"/>
              </w:rPr>
              <w:t>Phòng Văn hóa - Xã hội tham mưu.</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4</w:t>
            </w:r>
          </w:p>
        </w:tc>
        <w:tc>
          <w:tcPr>
            <w:tcW w:w="5272" w:type="dxa"/>
            <w:tcMar>
              <w:top w:w="80" w:type="dxa"/>
              <w:left w:w="80" w:type="dxa"/>
              <w:bottom w:w="80" w:type="dxa"/>
              <w:right w:w="80" w:type="dxa"/>
            </w:tcMar>
            <w:vAlign w:val="center"/>
          </w:tcPr>
          <w:p>
            <w:pPr>
              <w:spacing w:after="0" w:line="360" w:lineRule="exact"/>
            </w:pPr>
            <w:r>
              <w:rPr>
                <w:sz w:val="24"/>
              </w:rPr>
              <w:t>Biên bản tự kiểm tra kết quả PCGD, XMC năm 2026 của xã.</w:t>
            </w:r>
          </w:p>
        </w:tc>
        <w:tc>
          <w:tcPr>
            <w:tcW w:w="3572" w:type="dxa"/>
            <w:tcMar>
              <w:top w:w="80" w:type="dxa"/>
              <w:left w:w="80" w:type="dxa"/>
              <w:bottom w:w="80" w:type="dxa"/>
              <w:right w:w="80" w:type="dxa"/>
            </w:tcMar>
            <w:vAlign w:val="center"/>
          </w:tcPr>
          <w:p>
            <w:pPr>
              <w:spacing w:after="0" w:line="360" w:lineRule="exact"/>
              <w:jc w:val="both"/>
            </w:pPr>
            <w:r>
              <w:rPr>
                <w:sz w:val="24"/>
              </w:rPr>
              <w:t>Trường Mầm non Hương Sơn chủ trì dự thảo, tổng hợp kết quả của đoàn tự kiểm tra; các trường phối hợp.</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5</w:t>
            </w:r>
          </w:p>
        </w:tc>
        <w:tc>
          <w:tcPr>
            <w:tcW w:w="5272" w:type="dxa"/>
            <w:tcMar>
              <w:top w:w="80" w:type="dxa"/>
              <w:left w:w="80" w:type="dxa"/>
              <w:bottom w:w="80" w:type="dxa"/>
              <w:right w:w="80" w:type="dxa"/>
            </w:tcMar>
            <w:vAlign w:val="center"/>
          </w:tcPr>
          <w:p>
            <w:pPr>
              <w:spacing w:after="0" w:line="360" w:lineRule="exact"/>
            </w:pPr>
            <w:r>
              <w:rPr>
                <w:sz w:val="24"/>
              </w:rPr>
              <w:t>Tờ trình đề nghị kiểm tra, công nhận kết quả PCGD, XMC năm 2026 của xã.</w:t>
            </w:r>
          </w:p>
        </w:tc>
        <w:tc>
          <w:tcPr>
            <w:tcW w:w="3572" w:type="dxa"/>
            <w:tcMar>
              <w:top w:w="80" w:type="dxa"/>
              <w:left w:w="80" w:type="dxa"/>
              <w:bottom w:w="80" w:type="dxa"/>
              <w:right w:w="80" w:type="dxa"/>
            </w:tcMar>
            <w:vAlign w:val="center"/>
          </w:tcPr>
          <w:p>
            <w:pPr>
              <w:spacing w:after="0" w:line="360" w:lineRule="exact"/>
              <w:jc w:val="both"/>
            </w:pPr>
            <w:r>
              <w:rPr>
                <w:sz w:val="24"/>
              </w:rPr>
              <w:t>Phòng Văn hóa - Xã hội tham mưu UBND xã trình cấp có thẩm quyền.</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6</w:t>
            </w:r>
          </w:p>
        </w:tc>
        <w:tc>
          <w:tcPr>
            <w:tcW w:w="5272" w:type="dxa"/>
            <w:tcMar>
              <w:top w:w="80" w:type="dxa"/>
              <w:left w:w="80" w:type="dxa"/>
              <w:bottom w:w="80" w:type="dxa"/>
              <w:right w:w="80" w:type="dxa"/>
            </w:tcMar>
            <w:vAlign w:val="center"/>
          </w:tcPr>
          <w:p>
            <w:pPr>
              <w:spacing w:after="0" w:line="360" w:lineRule="exact"/>
            </w:pPr>
            <w:r>
              <w:rPr>
                <w:sz w:val="24"/>
              </w:rPr>
              <w:t>Báo cáo tổng hợp quá trình thực hiện và kết quả PCGD, XMC năm 2026 của xã, kèm các biểu thống kê.</w:t>
            </w:r>
          </w:p>
        </w:tc>
        <w:tc>
          <w:tcPr>
            <w:tcW w:w="3572" w:type="dxa"/>
            <w:tcMar>
              <w:top w:w="80" w:type="dxa"/>
              <w:left w:w="80" w:type="dxa"/>
              <w:bottom w:w="80" w:type="dxa"/>
              <w:right w:w="80" w:type="dxa"/>
            </w:tcMar>
            <w:vAlign w:val="center"/>
          </w:tcPr>
          <w:p>
            <w:pPr>
              <w:spacing w:after="0" w:line="360" w:lineRule="exact"/>
              <w:jc w:val="both"/>
            </w:pPr>
            <w:r>
              <w:rPr>
                <w:sz w:val="24"/>
              </w:rPr>
              <w:t>Trường Tiểu học Hương Sơn chủ trì dự thảo; các trường cung cấp số liệu; Phòng Văn hóa - Xã hội rà soát, hoàn thiện, trình ký.</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lastRenderedPageBreak/>
              <w:t>7</w:t>
            </w:r>
          </w:p>
        </w:tc>
        <w:tc>
          <w:tcPr>
            <w:tcW w:w="5272" w:type="dxa"/>
            <w:tcMar>
              <w:top w:w="80" w:type="dxa"/>
              <w:left w:w="80" w:type="dxa"/>
              <w:bottom w:w="80" w:type="dxa"/>
              <w:right w:w="80" w:type="dxa"/>
            </w:tcMar>
            <w:vAlign w:val="center"/>
          </w:tcPr>
          <w:p>
            <w:pPr>
              <w:spacing w:after="0" w:line="360" w:lineRule="exact"/>
            </w:pPr>
            <w:r>
              <w:rPr>
                <w:sz w:val="24"/>
              </w:rPr>
              <w:t>Các biểu thống kê trích xuất từ phần mềm PCGD, XMC:</w:t>
            </w:r>
            <w:r>
              <w:rPr>
                <w:sz w:val="24"/>
              </w:rPr>
              <w:br/>
            </w:r>
            <w:r>
              <w:rPr>
                <w:sz w:val="24"/>
              </w:rPr>
              <w:t>-</w:t>
            </w:r>
            <w:r>
              <w:rPr>
                <w:sz w:val="24"/>
              </w:rPr>
              <w:t xml:space="preserve"> Mầm non: mẫu 1, 2, 3, 4 và thống kê khuyết tật.</w:t>
            </w:r>
            <w:r>
              <w:rPr>
                <w:sz w:val="24"/>
              </w:rPr>
              <w:br/>
            </w:r>
            <w:r>
              <w:rPr>
                <w:sz w:val="24"/>
              </w:rPr>
              <w:t xml:space="preserve">- </w:t>
            </w:r>
            <w:r>
              <w:rPr>
                <w:sz w:val="24"/>
              </w:rPr>
              <w:t>Tiểu học: mẫu 1, 2, 3, 4; mục Thống kê khác, mẫu 6.</w:t>
            </w:r>
            <w:r>
              <w:rPr>
                <w:sz w:val="24"/>
              </w:rPr>
              <w:br/>
            </w:r>
            <w:r>
              <w:rPr>
                <w:sz w:val="24"/>
              </w:rPr>
              <w:t xml:space="preserve">- </w:t>
            </w:r>
            <w:r>
              <w:rPr>
                <w:sz w:val="24"/>
              </w:rPr>
              <w:t>THCS: mẫu 1, 2, 3, 4; mục Thống kê khác, mẫu 1, 4.</w:t>
            </w:r>
            <w:r>
              <w:rPr>
                <w:sz w:val="24"/>
              </w:rPr>
              <w:br/>
            </w:r>
            <w:r>
              <w:rPr>
                <w:sz w:val="24"/>
              </w:rPr>
              <w:t>-</w:t>
            </w:r>
            <w:r>
              <w:rPr>
                <w:sz w:val="24"/>
              </w:rPr>
              <w:t xml:space="preserve"> THPT: mẫu 2, 5 và thống kê khác có liên quan.</w:t>
            </w:r>
            <w:r>
              <w:rPr>
                <w:sz w:val="24"/>
              </w:rPr>
              <w:br/>
            </w:r>
            <w:r>
              <w:rPr>
                <w:sz w:val="24"/>
              </w:rPr>
              <w:t>-</w:t>
            </w:r>
            <w:r>
              <w:rPr>
                <w:sz w:val="24"/>
              </w:rPr>
              <w:t xml:space="preserve"> Xóa mù chữ: các biểu mẫu thuộc nội dung XMC.</w:t>
            </w:r>
          </w:p>
        </w:tc>
        <w:tc>
          <w:tcPr>
            <w:tcW w:w="3572" w:type="dxa"/>
            <w:tcMar>
              <w:top w:w="80" w:type="dxa"/>
              <w:left w:w="80" w:type="dxa"/>
              <w:bottom w:w="80" w:type="dxa"/>
              <w:right w:w="80" w:type="dxa"/>
            </w:tcMar>
            <w:vAlign w:val="center"/>
          </w:tcPr>
          <w:p>
            <w:pPr>
              <w:spacing w:after="0" w:line="360" w:lineRule="exact"/>
              <w:jc w:val="both"/>
            </w:pPr>
            <w:r>
              <w:rPr>
                <w:sz w:val="24"/>
              </w:rPr>
              <w:t xml:space="preserve">- </w:t>
            </w:r>
            <w:r>
              <w:rPr>
                <w:sz w:val="24"/>
              </w:rPr>
              <w:t xml:space="preserve">Trường </w:t>
            </w:r>
            <w:r>
              <w:rPr>
                <w:sz w:val="24"/>
              </w:rPr>
              <w:t>MN</w:t>
            </w:r>
            <w:r>
              <w:rPr>
                <w:sz w:val="24"/>
              </w:rPr>
              <w:t xml:space="preserve"> Hương Sơn: </w:t>
            </w:r>
            <w:r>
              <w:rPr>
                <w:sz w:val="24"/>
              </w:rPr>
              <w:t xml:space="preserve">hoàn thành biểu </w:t>
            </w:r>
            <w:r>
              <w:rPr>
                <w:sz w:val="24"/>
              </w:rPr>
              <w:t>mầm non.</w:t>
            </w:r>
            <w:r>
              <w:rPr>
                <w:sz w:val="24"/>
              </w:rPr>
              <w:br/>
            </w:r>
            <w:r>
              <w:rPr>
                <w:sz w:val="24"/>
              </w:rPr>
              <w:t xml:space="preserve">- </w:t>
            </w:r>
            <w:r>
              <w:rPr>
                <w:sz w:val="24"/>
              </w:rPr>
              <w:t xml:space="preserve">Trường </w:t>
            </w:r>
            <w:r>
              <w:rPr>
                <w:sz w:val="24"/>
              </w:rPr>
              <w:t>TH</w:t>
            </w:r>
            <w:r>
              <w:rPr>
                <w:sz w:val="24"/>
              </w:rPr>
              <w:t xml:space="preserve"> Hương Sơn: </w:t>
            </w:r>
            <w:r>
              <w:rPr>
                <w:sz w:val="24"/>
              </w:rPr>
              <w:t xml:space="preserve">biểu </w:t>
            </w:r>
            <w:r>
              <w:rPr>
                <w:sz w:val="24"/>
              </w:rPr>
              <w:t>tiểu học.</w:t>
            </w:r>
            <w:r>
              <w:rPr>
                <w:sz w:val="24"/>
              </w:rPr>
              <w:br/>
            </w:r>
            <w:r>
              <w:rPr>
                <w:sz w:val="24"/>
              </w:rPr>
              <w:t xml:space="preserve">- </w:t>
            </w:r>
            <w:r>
              <w:rPr>
                <w:sz w:val="24"/>
              </w:rPr>
              <w:t xml:space="preserve">Trường THCS Nguyễn Tuấn Thiện: </w:t>
            </w:r>
            <w:r>
              <w:rPr>
                <w:sz w:val="24"/>
              </w:rPr>
              <w:t xml:space="preserve">biểu </w:t>
            </w:r>
            <w:r>
              <w:rPr>
                <w:sz w:val="24"/>
              </w:rPr>
              <w:t>THCS, THPT và XMC.</w:t>
            </w:r>
            <w:r>
              <w:rPr>
                <w:sz w:val="24"/>
              </w:rPr>
              <w:br/>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8</w:t>
            </w:r>
          </w:p>
        </w:tc>
        <w:tc>
          <w:tcPr>
            <w:tcW w:w="5272" w:type="dxa"/>
            <w:tcMar>
              <w:top w:w="80" w:type="dxa"/>
              <w:left w:w="80" w:type="dxa"/>
              <w:bottom w:w="80" w:type="dxa"/>
              <w:right w:w="80" w:type="dxa"/>
            </w:tcMar>
            <w:vAlign w:val="center"/>
          </w:tcPr>
          <w:p>
            <w:pPr>
              <w:spacing w:after="0" w:line="360" w:lineRule="exact"/>
            </w:pPr>
            <w:r>
              <w:rPr>
                <w:sz w:val="24"/>
              </w:rPr>
              <w:t>Phiếu điều tra PCGD, XMC, sắp xếp theo địa bàn thôn và hộ gia đình; đối chiếu với dữ liệu trên phần mềm.</w:t>
            </w:r>
          </w:p>
        </w:tc>
        <w:tc>
          <w:tcPr>
            <w:tcW w:w="3572" w:type="dxa"/>
            <w:tcMar>
              <w:top w:w="80" w:type="dxa"/>
              <w:left w:w="80" w:type="dxa"/>
              <w:bottom w:w="80" w:type="dxa"/>
              <w:right w:w="80" w:type="dxa"/>
            </w:tcMar>
            <w:vAlign w:val="center"/>
          </w:tcPr>
          <w:p>
            <w:pPr>
              <w:spacing w:after="0" w:line="360" w:lineRule="exact"/>
              <w:jc w:val="both"/>
            </w:pPr>
            <w:r>
              <w:rPr>
                <w:sz w:val="24"/>
              </w:rPr>
              <w:t>Trường THCS Nguyễn Tuấn Thiện chủ trì tập hợp; các trường và trưởng thôn phối hợp rà soát.</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9</w:t>
            </w:r>
          </w:p>
        </w:tc>
        <w:tc>
          <w:tcPr>
            <w:tcW w:w="5272" w:type="dxa"/>
            <w:tcMar>
              <w:top w:w="80" w:type="dxa"/>
              <w:left w:w="80" w:type="dxa"/>
              <w:bottom w:w="80" w:type="dxa"/>
              <w:right w:w="80" w:type="dxa"/>
            </w:tcMar>
            <w:vAlign w:val="center"/>
          </w:tcPr>
          <w:p>
            <w:pPr>
              <w:spacing w:after="0" w:line="360" w:lineRule="exact"/>
            </w:pPr>
            <w:r>
              <w:rPr>
                <w:sz w:val="24"/>
              </w:rPr>
              <w:t>Sổ theo dõi PCGD, XMC; mỗi trường có 01 sổ, cập nhật đầy đủ, thống nhất với phiếu điều tra và phần mềm.</w:t>
            </w:r>
          </w:p>
        </w:tc>
        <w:tc>
          <w:tcPr>
            <w:tcW w:w="3572" w:type="dxa"/>
            <w:tcMar>
              <w:top w:w="80" w:type="dxa"/>
              <w:left w:w="80" w:type="dxa"/>
              <w:bottom w:w="80" w:type="dxa"/>
              <w:right w:w="80" w:type="dxa"/>
            </w:tcMar>
            <w:vAlign w:val="center"/>
          </w:tcPr>
          <w:p>
            <w:pPr>
              <w:spacing w:after="0" w:line="360" w:lineRule="exact"/>
              <w:jc w:val="both"/>
            </w:pPr>
            <w:r>
              <w:rPr>
                <w:sz w:val="24"/>
              </w:rPr>
              <w:t>Các trường học thực hiện.</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10</w:t>
            </w:r>
          </w:p>
        </w:tc>
        <w:tc>
          <w:tcPr>
            <w:tcW w:w="5272" w:type="dxa"/>
            <w:tcMar>
              <w:top w:w="80" w:type="dxa"/>
              <w:left w:w="80" w:type="dxa"/>
              <w:bottom w:w="80" w:type="dxa"/>
              <w:right w:w="80" w:type="dxa"/>
            </w:tcMar>
            <w:vAlign w:val="center"/>
          </w:tcPr>
          <w:p>
            <w:pPr>
              <w:spacing w:after="0" w:line="360" w:lineRule="exact"/>
            </w:pPr>
            <w:r>
              <w:rPr>
                <w:sz w:val="24"/>
              </w:rPr>
              <w:t>Danh sách trẻ em hoàn thành chương trình giáo dục mầm non.</w:t>
            </w:r>
          </w:p>
        </w:tc>
        <w:tc>
          <w:tcPr>
            <w:tcW w:w="3572" w:type="dxa"/>
            <w:tcMar>
              <w:top w:w="80" w:type="dxa"/>
              <w:left w:w="80" w:type="dxa"/>
              <w:bottom w:w="80" w:type="dxa"/>
              <w:right w:w="80" w:type="dxa"/>
            </w:tcMar>
            <w:vAlign w:val="center"/>
          </w:tcPr>
          <w:p>
            <w:pPr>
              <w:spacing w:after="0" w:line="360" w:lineRule="exact"/>
              <w:jc w:val="both"/>
            </w:pPr>
            <w:r>
              <w:rPr>
                <w:sz w:val="24"/>
              </w:rPr>
              <w:t>Trường Mầm non Hương Sơn.</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11</w:t>
            </w:r>
          </w:p>
        </w:tc>
        <w:tc>
          <w:tcPr>
            <w:tcW w:w="5272" w:type="dxa"/>
            <w:tcMar>
              <w:top w:w="80" w:type="dxa"/>
              <w:left w:w="80" w:type="dxa"/>
              <w:bottom w:w="80" w:type="dxa"/>
              <w:right w:w="80" w:type="dxa"/>
            </w:tcMar>
            <w:vAlign w:val="center"/>
          </w:tcPr>
          <w:p>
            <w:pPr>
              <w:spacing w:after="0" w:line="360" w:lineRule="exact"/>
            </w:pPr>
            <w:r>
              <w:rPr>
                <w:sz w:val="24"/>
              </w:rPr>
              <w:t>Danh sách học sinh hoàn thành chương trình giáo dục tiểu học.</w:t>
            </w:r>
          </w:p>
        </w:tc>
        <w:tc>
          <w:tcPr>
            <w:tcW w:w="3572" w:type="dxa"/>
            <w:tcMar>
              <w:top w:w="80" w:type="dxa"/>
              <w:left w:w="80" w:type="dxa"/>
              <w:bottom w:w="80" w:type="dxa"/>
              <w:right w:w="80" w:type="dxa"/>
            </w:tcMar>
            <w:vAlign w:val="center"/>
          </w:tcPr>
          <w:p>
            <w:pPr>
              <w:spacing w:after="0" w:line="360" w:lineRule="exact"/>
              <w:jc w:val="both"/>
            </w:pPr>
            <w:r>
              <w:rPr>
                <w:sz w:val="24"/>
              </w:rPr>
              <w:t>Trường Tiểu học Hương Sơn.</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12</w:t>
            </w:r>
          </w:p>
        </w:tc>
        <w:tc>
          <w:tcPr>
            <w:tcW w:w="5272" w:type="dxa"/>
            <w:tcMar>
              <w:top w:w="80" w:type="dxa"/>
              <w:left w:w="80" w:type="dxa"/>
              <w:bottom w:w="80" w:type="dxa"/>
              <w:right w:w="80" w:type="dxa"/>
            </w:tcMar>
            <w:vAlign w:val="center"/>
          </w:tcPr>
          <w:p>
            <w:pPr>
              <w:spacing w:after="0" w:line="360" w:lineRule="exact"/>
            </w:pPr>
            <w:r>
              <w:rPr>
                <w:sz w:val="24"/>
              </w:rPr>
              <w:t>Danh sách học sinh tốt nghiệp THCS; danh sách học sinh có chứng chỉ nghề; danh sách học viên được công nhận biết chữ theo các mức độ (nếu có).</w:t>
            </w:r>
          </w:p>
        </w:tc>
        <w:tc>
          <w:tcPr>
            <w:tcW w:w="3572" w:type="dxa"/>
            <w:tcMar>
              <w:top w:w="80" w:type="dxa"/>
              <w:left w:w="80" w:type="dxa"/>
              <w:bottom w:w="80" w:type="dxa"/>
              <w:right w:w="80" w:type="dxa"/>
            </w:tcMar>
            <w:vAlign w:val="center"/>
          </w:tcPr>
          <w:p>
            <w:pPr>
              <w:spacing w:after="0" w:line="360" w:lineRule="exact"/>
              <w:jc w:val="both"/>
            </w:pPr>
            <w:r>
              <w:rPr>
                <w:sz w:val="24"/>
              </w:rPr>
              <w:t>Trường THCS Nguyễn Tuấn Thiện chủ trì tập hợp, kiểm tra minh chứng.</w:t>
            </w:r>
          </w:p>
        </w:tc>
      </w:tr>
      <w:tr>
        <w:trPr>
          <w:cantSplit/>
          <w:jc w:val="center"/>
        </w:trPr>
        <w:tc>
          <w:tcPr>
            <w:tcW w:w="709" w:type="dxa"/>
            <w:tcMar>
              <w:top w:w="80" w:type="dxa"/>
              <w:left w:w="80" w:type="dxa"/>
              <w:bottom w:w="80" w:type="dxa"/>
              <w:right w:w="80" w:type="dxa"/>
            </w:tcMar>
            <w:vAlign w:val="center"/>
          </w:tcPr>
          <w:p>
            <w:pPr>
              <w:spacing w:after="0" w:line="360" w:lineRule="exact"/>
              <w:jc w:val="center"/>
            </w:pPr>
            <w:r>
              <w:rPr>
                <w:sz w:val="24"/>
              </w:rPr>
              <w:t>13</w:t>
            </w:r>
          </w:p>
        </w:tc>
        <w:tc>
          <w:tcPr>
            <w:tcW w:w="5272" w:type="dxa"/>
            <w:tcMar>
              <w:top w:w="80" w:type="dxa"/>
              <w:left w:w="80" w:type="dxa"/>
              <w:bottom w:w="80" w:type="dxa"/>
              <w:right w:w="80" w:type="dxa"/>
            </w:tcMar>
            <w:vAlign w:val="center"/>
          </w:tcPr>
          <w:p>
            <w:pPr>
              <w:spacing w:after="0" w:line="360" w:lineRule="exact"/>
            </w:pPr>
            <w:r>
              <w:rPr>
                <w:sz w:val="24"/>
              </w:rPr>
              <w:t>Biên bản kiểm tra thực tế tại hộ gia đình; mỗi trường chuẩn bị ít nhất 02 biên bản</w:t>
            </w:r>
            <w:r>
              <w:rPr>
                <w:sz w:val="24"/>
              </w:rPr>
              <w:t>.</w:t>
            </w:r>
          </w:p>
        </w:tc>
        <w:tc>
          <w:tcPr>
            <w:tcW w:w="3572" w:type="dxa"/>
            <w:tcMar>
              <w:top w:w="80" w:type="dxa"/>
              <w:left w:w="80" w:type="dxa"/>
              <w:bottom w:w="80" w:type="dxa"/>
              <w:right w:w="80" w:type="dxa"/>
            </w:tcMar>
            <w:vAlign w:val="center"/>
          </w:tcPr>
          <w:p>
            <w:pPr>
              <w:spacing w:after="0" w:line="360" w:lineRule="exact"/>
              <w:jc w:val="both"/>
            </w:pPr>
            <w:r>
              <w:rPr>
                <w:sz w:val="24"/>
              </w:rPr>
              <w:t>Các trường học phối hợp với đoàn tự kiểm tra và trưởng thôn thực hiện.</w:t>
            </w:r>
          </w:p>
        </w:tc>
      </w:tr>
    </w:tbl>
    <w:p>
      <w:pPr>
        <w:spacing w:after="0" w:line="360" w:lineRule="exact"/>
        <w:ind w:firstLine="720"/>
      </w:pPr>
      <w:r>
        <w:rPr>
          <w:b/>
        </w:rPr>
        <w:t>II. HỒ SƠ THEO CẤP HỌC VÀ XÓA MÙ CHỮ</w:t>
      </w:r>
    </w:p>
    <w:p>
      <w:pPr>
        <w:spacing w:after="0" w:line="360" w:lineRule="exact"/>
        <w:ind w:firstLine="720"/>
        <w:jc w:val="both"/>
      </w:pPr>
      <w:r>
        <w:t>Mỗi tập hồ sơ lập 02 bộ. Người được phân công chủ trì chịu trách nhiệm chỉ đạo rà soát, cập nhật số liệu; tập hợp tài liệu đã có tại mục I; bổ sung hồ sơ thuộc phạm vi phụ trách. Biên bản tự kiểm tra chung của xã được sao lưu vào từng tập, kèm nội dung kiểm tra tương ứng.</w:t>
      </w:r>
    </w:p>
    <w:p>
      <w:pPr>
        <w:pStyle w:val="Heading2"/>
        <w:spacing w:before="0" w:after="0" w:line="360" w:lineRule="exact"/>
        <w:ind w:firstLine="720"/>
        <w:jc w:val="both"/>
      </w:pPr>
      <w:r>
        <w:t>1. Tập hồ sơ về phổ cập giáo dục mầm non</w:t>
      </w:r>
    </w:p>
    <w:p>
      <w:pPr>
        <w:spacing w:after="0" w:line="360" w:lineRule="exact"/>
        <w:ind w:firstLine="720"/>
        <w:jc w:val="both"/>
        <w:rPr>
          <w:i/>
        </w:rPr>
      </w:pPr>
      <w:r>
        <w:rPr>
          <w:b/>
          <w:i/>
        </w:rPr>
        <w:t>Chủ trì: Đồng chí Nguyễn Thị Hồng Sa, Hiệu trưởng Trường Mầm non Hương Sơn.</w:t>
      </w:r>
    </w:p>
    <w:p>
      <w:pPr>
        <w:spacing w:after="0" w:line="360" w:lineRule="exact"/>
        <w:ind w:firstLine="720"/>
        <w:jc w:val="both"/>
      </w:pPr>
      <w:r>
        <w:t>1.1. Biên bản tự kiểm tra của xã và nội dung kiểm tra kết quả phổ cập giáo dục mầm non.</w:t>
      </w:r>
    </w:p>
    <w:p>
      <w:pPr>
        <w:spacing w:after="0" w:line="360" w:lineRule="exact"/>
        <w:ind w:firstLine="720"/>
        <w:jc w:val="both"/>
      </w:pPr>
      <w:r>
        <w:lastRenderedPageBreak/>
        <w:t>1.2. Báo cáo quá trình thực hiện và kết quả phổ cập giáo dục mầm non; thể hiện riêng kết quả đối với trẻ em 5 tuổi và số liệu, tiến độ thực hiện phổ cập cho trẻ em từ 3 đến 5 tuổi theo hướng dẫn của cấp trên.</w:t>
      </w:r>
    </w:p>
    <w:p>
      <w:pPr>
        <w:spacing w:after="0" w:line="360" w:lineRule="exact"/>
        <w:ind w:firstLine="720"/>
        <w:jc w:val="both"/>
      </w:pPr>
      <w:r>
        <w:t>1.3. Các biểu thống kê mầm non tại mục I; biểu thống kê tài chính, đội ngũ, cơ sở vật chất và các minh chứng liên quan theo yêu cầu của cấp trên.</w:t>
      </w:r>
    </w:p>
    <w:p>
      <w:pPr>
        <w:spacing w:after="0" w:line="360" w:lineRule="exact"/>
        <w:ind w:firstLine="720"/>
        <w:jc w:val="both"/>
      </w:pPr>
      <w:r>
        <w:t>1.4. Danh sách trẻ em hoàn thành chương trình giáo dục mầm non; danh sách trẻ trong độ tuổi phổ cập cư trú trên địa bàn học ở địa phương khác và trẻ ngoài địa bàn đến học tại xã.</w:t>
      </w:r>
    </w:p>
    <w:p>
      <w:pPr>
        <w:pStyle w:val="Heading2"/>
        <w:spacing w:before="0" w:after="0" w:line="360" w:lineRule="exact"/>
        <w:ind w:firstLine="720"/>
        <w:jc w:val="both"/>
      </w:pPr>
      <w:r>
        <w:t>2. Tập hồ sơ về phổ cập giáo dục tiểu học</w:t>
      </w:r>
    </w:p>
    <w:p>
      <w:pPr>
        <w:spacing w:after="0" w:line="360" w:lineRule="exact"/>
        <w:ind w:firstLine="720"/>
        <w:jc w:val="both"/>
        <w:rPr>
          <w:b/>
          <w:i/>
        </w:rPr>
      </w:pPr>
      <w:r>
        <w:rPr>
          <w:b/>
          <w:i/>
        </w:rPr>
        <w:t>Chủ trì: Đồng chí Phan Thị Cẩm Thơ, Hiệu trưởng Trường Tiểu học Hương Sơn.</w:t>
      </w:r>
    </w:p>
    <w:p>
      <w:pPr>
        <w:spacing w:after="0" w:line="360" w:lineRule="exact"/>
        <w:ind w:firstLine="720"/>
        <w:jc w:val="both"/>
      </w:pPr>
      <w:r>
        <w:t>2.1. Biên bản tự kiểm tra của xã và nội dung kiểm tra kết quả phổ cập giáo dục tiểu học.</w:t>
      </w:r>
    </w:p>
    <w:p>
      <w:pPr>
        <w:spacing w:after="0" w:line="360" w:lineRule="exact"/>
        <w:ind w:firstLine="720"/>
        <w:jc w:val="both"/>
      </w:pPr>
      <w:r>
        <w:t>2.2. Báo cáo quá trình thực hiện và kết quả phổ cập giáo dục tiểu học; các biểu tổng hợp, thống kê theo hướng dẫn, gồm danh sách trẻ từ 6 đến 14 tuổi chưa đi học, bỏ học và danh sách trẻ khuyết tật trong độ tuổi.</w:t>
      </w:r>
    </w:p>
    <w:p>
      <w:pPr>
        <w:spacing w:after="0" w:line="360" w:lineRule="exact"/>
        <w:ind w:firstLine="720"/>
        <w:jc w:val="both"/>
      </w:pPr>
      <w:r>
        <w:t>2.3. Danh sách học sinh hoàn thành chương trình giáo dục tiểu học và minh chứng đối chiếu.</w:t>
      </w:r>
    </w:p>
    <w:p>
      <w:pPr>
        <w:spacing w:after="0" w:line="360" w:lineRule="exact"/>
        <w:ind w:firstLine="720"/>
        <w:jc w:val="both"/>
      </w:pPr>
      <w:r>
        <w:t>2.4. Danh sách học sinh trong độ tuổi phổ cập cư trú trên địa bàn học ở địa phương khác và học sinh ngoài địa bàn đến học tại xã.</w:t>
      </w:r>
    </w:p>
    <w:p>
      <w:pPr>
        <w:pStyle w:val="Heading2"/>
        <w:spacing w:before="0" w:after="0" w:line="360" w:lineRule="exact"/>
        <w:ind w:firstLine="720"/>
        <w:jc w:val="both"/>
        <w:rPr>
          <w:b w:val="0"/>
          <w:i/>
        </w:rPr>
      </w:pPr>
      <w:r>
        <w:rPr>
          <w:b w:val="0"/>
          <w:i/>
        </w:rPr>
        <w:t xml:space="preserve">* Yêu cầu đối với số liệu và biểu thống kê: </w:t>
      </w:r>
      <w:r>
        <w:rPr>
          <w:b w:val="0"/>
        </w:rPr>
        <w:t>Số liệu phải thống nhất giữa phiếu điều tra, sổ theo dõi, phần mềm, danh sách và báo cáo; xác định đúng đối tượng, độ tuổi, tình trạng học tập, tránh bỏ sót hoặc trùng lặp. Các biểu in ra phải được kiểm tra, ký và đóng dấu xác nhận theo thẩm quyền.</w:t>
      </w:r>
    </w:p>
    <w:p>
      <w:pPr>
        <w:spacing w:after="0" w:line="360" w:lineRule="exact"/>
        <w:ind w:firstLine="720"/>
      </w:pPr>
      <w:r>
        <w:rPr>
          <w:b/>
        </w:rPr>
        <w:t>3. Tập hồ sơ về phổ cập giáo dục trung học cơ sở</w:t>
      </w:r>
    </w:p>
    <w:p>
      <w:pPr>
        <w:spacing w:after="0" w:line="360" w:lineRule="exact"/>
        <w:ind w:firstLine="720"/>
        <w:jc w:val="both"/>
        <w:rPr>
          <w:i/>
        </w:rPr>
      </w:pPr>
      <w:r>
        <w:rPr>
          <w:b/>
          <w:i/>
        </w:rPr>
        <w:t>Chủ trì: Đồng chí Phan Văn Tuân, Hiệu trưởng Trường THCS Nguyễn Tuấn Thiện.</w:t>
      </w:r>
    </w:p>
    <w:p>
      <w:pPr>
        <w:spacing w:after="0" w:line="360" w:lineRule="exact"/>
        <w:ind w:firstLine="720"/>
        <w:jc w:val="both"/>
      </w:pPr>
      <w:r>
        <w:t>3.1. Biên bản tự kiểm tra của xã và nội dung kiểm tra kết quả phổ cập giáo dục THCS.</w:t>
      </w:r>
    </w:p>
    <w:p>
      <w:pPr>
        <w:spacing w:after="0" w:line="360" w:lineRule="exact"/>
        <w:ind w:firstLine="720"/>
        <w:jc w:val="both"/>
      </w:pPr>
      <w:r>
        <w:t>3.2. Báo cáo quá trình thực hiện và kết quả phổ cập giáo dục THCS; các biểu tổng hợp, kết quả điều tra phổ cập bậc trung học và thống kê người khuyết tật theo hướng dẫn.</w:t>
      </w:r>
    </w:p>
    <w:p>
      <w:pPr>
        <w:spacing w:after="0" w:line="360" w:lineRule="exact"/>
        <w:ind w:firstLine="720"/>
        <w:jc w:val="both"/>
      </w:pPr>
      <w:r>
        <w:t>3.3. Danh sách học sinh tốt nghiệp THCS; danh sách học sinh có chứng chỉ nghề (nếu có); số liệu học tập sau THCS và minh chứng liên quan.</w:t>
      </w:r>
    </w:p>
    <w:p>
      <w:pPr>
        <w:spacing w:after="0" w:line="360" w:lineRule="exact"/>
        <w:ind w:firstLine="720"/>
        <w:jc w:val="both"/>
      </w:pPr>
      <w:r>
        <w:t>3.4. Danh sách học sinh trong độ tuổi phổ cập cư trú trên địa bàn học ở địa phương khác và học sinh ngoài địa bàn đến học tại xã.</w:t>
      </w:r>
    </w:p>
    <w:p>
      <w:pPr>
        <w:pStyle w:val="Heading2"/>
        <w:spacing w:before="0" w:after="0" w:line="360" w:lineRule="exact"/>
        <w:ind w:firstLine="720"/>
        <w:jc w:val="both"/>
      </w:pPr>
      <w:r>
        <w:t>4. Tập hồ sơ về xóa mù chữ</w:t>
      </w:r>
    </w:p>
    <w:p>
      <w:pPr>
        <w:spacing w:after="0" w:line="360" w:lineRule="exact"/>
        <w:ind w:firstLine="720"/>
        <w:jc w:val="both"/>
        <w:rPr>
          <w:i/>
        </w:rPr>
      </w:pPr>
      <w:r>
        <w:rPr>
          <w:b/>
          <w:i/>
        </w:rPr>
        <w:t>Chủ trì: Đồng chí Phan Văn Tuân, Hiệu trưởng Trường THCS Nguyễn Tuấn Thiện.</w:t>
      </w:r>
    </w:p>
    <w:p>
      <w:pPr>
        <w:spacing w:after="0" w:line="360" w:lineRule="exact"/>
        <w:ind w:firstLine="720"/>
        <w:jc w:val="both"/>
      </w:pPr>
      <w:r>
        <w:t>4.1. Biên bản tự kiểm tra của xã và nội dung kiểm tra kết quả xóa mù chữ.</w:t>
      </w:r>
    </w:p>
    <w:p>
      <w:pPr>
        <w:spacing w:after="0" w:line="360" w:lineRule="exact"/>
        <w:ind w:firstLine="720"/>
        <w:jc w:val="both"/>
      </w:pPr>
      <w:r>
        <w:lastRenderedPageBreak/>
        <w:t>4.2. Báo cáo quá trình thực hiện và kết quả xóa mù chữ; các biểu thống kê XMC trích xuất từ phần mềm; danh sách người chưa biết chữ, người cần tiếp tục học để đạt mức độ biết chữ theo yêu cầu.</w:t>
      </w:r>
    </w:p>
    <w:p>
      <w:pPr>
        <w:spacing w:after="0" w:line="360" w:lineRule="exact"/>
        <w:ind w:firstLine="720"/>
        <w:jc w:val="both"/>
      </w:pPr>
      <w:r>
        <w:t>4.3. Danh sách người học các lớp xóa mù chữ và học viên được công nhận biết chữ theo các mức độ, kèm minh chứng (nếu có).</w:t>
      </w:r>
    </w:p>
    <w:p>
      <w:pPr>
        <w:pStyle w:val="Heading2"/>
        <w:spacing w:before="0" w:after="0" w:line="360" w:lineRule="exact"/>
        <w:ind w:firstLine="720"/>
        <w:jc w:val="both"/>
      </w:pPr>
      <w:r>
        <w:t>5. Hồ sơ đội ngũ và điều kiện bảo đảm</w:t>
      </w:r>
    </w:p>
    <w:p>
      <w:pPr>
        <w:spacing w:after="0" w:line="360" w:lineRule="exact"/>
        <w:ind w:firstLine="720"/>
        <w:jc w:val="both"/>
      </w:pPr>
      <w:r>
        <w:t>Phòng Văn hóa – Xã hội chủ trì tổng hợp, lập 02 bộ; các trường cung cấp biểu thống kê và minh chứng về đội ngũ cán bộ quản lý, giáo viên, nhân viên; cơ sở vật chất, thiết bị; kinh phí thực hiện. Nội dung tổng hợp được sử dụng thống nhất trong báo cáo chung của xã.</w:t>
      </w:r>
    </w:p>
    <w:p>
      <w:pPr>
        <w:spacing w:after="0" w:line="360" w:lineRule="exact"/>
        <w:ind w:firstLine="720"/>
        <w:jc w:val="both"/>
      </w:pPr>
      <w:r>
        <w:rPr>
          <w:b/>
        </w:rPr>
        <w:t>III. TỔ CHỨC THỰC HIỆN</w:t>
      </w:r>
    </w:p>
    <w:p>
      <w:pPr>
        <w:spacing w:after="0" w:line="360" w:lineRule="exact"/>
        <w:ind w:firstLine="720"/>
        <w:jc w:val="both"/>
      </w:pPr>
      <w:r>
        <w:t>1. Hiệu trưởng các trường phân công cụ thể cán bộ thực hiện, chịu trách nhiệm về số liệu và hồ sơ thuộc phạm vi phụ trách; phối hợp với trưởng thôn rà soát đối tượng và kiểm tra thực tế.</w:t>
      </w:r>
    </w:p>
    <w:p>
      <w:pPr>
        <w:spacing w:after="0" w:line="360" w:lineRule="exact"/>
        <w:ind w:firstLine="720"/>
        <w:jc w:val="both"/>
      </w:pPr>
      <w:r>
        <w:t>2. Đoàn tự kiểm tra thực hiện theo quyết định và kế hoạch của xã; lập biên bản, đánh giá kết quả, chỉ rõ nội dung cần bổ sung. Các đơn vị khắc phục tồn tại, hoàn thiện hồ sơ sau tự kiểm tra.</w:t>
      </w:r>
    </w:p>
    <w:p>
      <w:pPr>
        <w:spacing w:after="0" w:line="360" w:lineRule="exact"/>
        <w:ind w:firstLine="720"/>
        <w:jc w:val="both"/>
      </w:pPr>
      <w:bookmarkStart w:id="0" w:name="_GoBack"/>
      <w:bookmarkEnd w:id="0"/>
      <w:r>
        <w:t>3. Hồ sơ phải có mục lục, sắp xếp theo danh mục, đủ chữ ký và dấu xác nhận; gửi 02 bộ giấy và tệp điện tử về Phòng Văn hóa - Xã hội theo thời hạn Ban Chỉ đạo thông báo để rà soát, tham mưu trình hồ sơ đề nghị kiểm tra, công nhận kết quả năm 2026.</w:t>
      </w:r>
    </w:p>
    <w:p>
      <w:pPr>
        <w:spacing w:after="0" w:line="360" w:lineRule="exact"/>
        <w:jc w:val="center"/>
      </w:pPr>
      <w:r>
        <w:rPr>
          <w:b/>
          <w:sz w:val="24"/>
        </w:rPr>
        <w:t xml:space="preserve">                                             BAN CHỈ ĐẠO PCGD, XMC XÃ HƯƠNG SƠN</w:t>
      </w:r>
    </w:p>
    <w:p>
      <w:pPr>
        <w:spacing w:after="0" w:line="360" w:lineRule="exact"/>
      </w:pPr>
      <w:r>
        <w:br w:type="page"/>
      </w:r>
    </w:p>
    <w:p>
      <w:pPr>
        <w:pStyle w:val="Title"/>
        <w:jc w:val="center"/>
      </w:pPr>
      <w:r>
        <w:lastRenderedPageBreak/>
        <w:t>PHỤ LỤC</w:t>
      </w:r>
      <w:r>
        <w:br/>
        <w:t>ĐỀ CƯƠNG THAM KHẢO BÁO CÁO KẾT QUẢ</w:t>
      </w:r>
      <w:r>
        <w:br/>
        <w:t>PHỔ CẬP GIÁO DỤC XÓA MÙ CHỮ NĂM 2026</w:t>
      </w:r>
    </w:p>
    <w:p>
      <w:pPr>
        <w:jc w:val="both"/>
      </w:pPr>
      <w:r>
        <w:rPr>
          <w:sz w:val="24"/>
        </w:rPr>
        <w:t>Đề cương dùng để tổng hợp báo cáo của xã; các đơn vị cung cấp nội dung thuộc lĩnh vực được giao. Khi lập báo cáo chính thức, sử dụng biểu mẫu, tiêu chí và hướng dẫn hiện hành của cơ quan có thẩm quyền.</w:t>
      </w:r>
    </w:p>
    <w:p>
      <w:pPr>
        <w:jc w:val="center"/>
      </w:pPr>
      <w:r>
        <w:rPr>
          <w:b/>
        </w:rPr>
        <w:t>BÁO CÁO</w:t>
      </w:r>
      <w:r>
        <w:rPr>
          <w:b/>
        </w:rPr>
        <w:br/>
        <w:t>Quá trình thực hiện và kết quả phổ cập giáo dục,</w:t>
      </w:r>
      <w:r>
        <w:rPr>
          <w:b/>
        </w:rPr>
        <w:br/>
        <w:t>xóa mù chữ năm 2026 của xã Hương Sơn</w:t>
      </w:r>
    </w:p>
    <w:p>
      <w:pPr>
        <w:pStyle w:val="Heading1"/>
        <w:jc w:val="both"/>
      </w:pPr>
      <w:r>
        <w:t>Phần I. TÌNH HÌNH THỰC HIỆN VÀ KẾT QUẢ</w:t>
      </w:r>
    </w:p>
    <w:p>
      <w:pPr>
        <w:pStyle w:val="Heading2"/>
        <w:jc w:val="both"/>
      </w:pPr>
      <w:r>
        <w:t>I. Công tác chỉ đạo và tổ chức thực hiện</w:t>
      </w:r>
    </w:p>
    <w:p>
      <w:pPr>
        <w:jc w:val="both"/>
      </w:pPr>
      <w:r>
        <w:t>1. Kiện toàn Ban Chỉ đạo, phân công nhiệm vụ; ban hành kế hoạch và văn bản triển khai.</w:t>
      </w:r>
    </w:p>
    <w:p>
      <w:pPr>
        <w:jc w:val="both"/>
      </w:pPr>
      <w:r>
        <w:t>2. Tổ chức điều tra, rà soát, cập nhật dữ liệu; huy động người học, duy trì sĩ số; phối hợp giữa nhà trường, các đơn vị và thôn.</w:t>
      </w:r>
    </w:p>
    <w:p>
      <w:pPr>
        <w:jc w:val="both"/>
      </w:pPr>
      <w:r>
        <w:t>3. Công tác tự kiểm tra, đối chiếu số liệu, hoàn thiện hồ sơ và khắc phục hạn chế.</w:t>
      </w:r>
    </w:p>
    <w:p>
      <w:pPr>
        <w:pStyle w:val="Heading2"/>
        <w:jc w:val="both"/>
      </w:pPr>
      <w:r>
        <w:t>II. Kết quả thực hiện</w:t>
      </w:r>
    </w:p>
    <w:p>
      <w:pPr>
        <w:jc w:val="both"/>
      </w:pPr>
      <w:r>
        <w:rPr>
          <w:sz w:val="24"/>
        </w:rPr>
        <w:t>Nêu số lượng, tổng số đối tượng làm căn cứ tính và tỷ lệ của từng chỉ tiêu; đối chiếu giữa báo cáo và biểu thống kê. Chỉ kết luận mức đạt trên cơ sở kết quả tự kiểm tra và tiêu chuẩn áp dụng.</w:t>
      </w:r>
    </w:p>
    <w:p>
      <w:pPr>
        <w:jc w:val="both"/>
      </w:pPr>
      <w:r>
        <w:rPr>
          <w:b/>
        </w:rPr>
        <w:t>1. Phổ cập giáo dục mầm non</w:t>
      </w:r>
    </w:p>
    <w:p>
      <w:pPr>
        <w:jc w:val="both"/>
      </w:pPr>
      <w:r>
        <w:t>– Trẻ em 5 tuổi: tổng số trên địa bàn; số và tỷ lệ huy động đến trường, học 02 buổi/ngày, hoàn thành chương trình giáo dục mầm non.</w:t>
      </w:r>
    </w:p>
    <w:p>
      <w:pPr>
        <w:jc w:val="both"/>
      </w:pPr>
      <w:r>
        <w:t>– Trẻ em từ 3 đến 5 tuổi: thống kê riêng từng độ tuổi; số huy động, số học tại xã, số học ngoài xã; tiến độ thực hiện các chỉ tiêu theo kế hoạch.</w:t>
      </w:r>
    </w:p>
    <w:p>
      <w:pPr>
        <w:jc w:val="both"/>
      </w:pPr>
      <w:r>
        <w:t>– Trẻ em từ 0 đến 2 tuổi: tổng số, số huy động và tỷ lệ; trẻ khuyết tật từ 0 đến 5 tuổi và khả năng tiếp cận giáo dục.</w:t>
      </w:r>
    </w:p>
    <w:p>
      <w:pPr>
        <w:jc w:val="both"/>
      </w:pPr>
      <w:r>
        <w:t>– Đánh giá kết quả theo từng nội dung; phân biệt kết quả đối với trẻ 5 tuổi với tiến độ phổ cập cho trẻ từ 3 đến 5 tuổi.</w:t>
      </w:r>
    </w:p>
    <w:p>
      <w:pPr>
        <w:jc w:val="both"/>
      </w:pPr>
      <w:r>
        <w:rPr>
          <w:b/>
        </w:rPr>
        <w:t>2. Phổ cập giáo dục tiểu học</w:t>
      </w:r>
    </w:p>
    <w:p>
      <w:pPr>
        <w:jc w:val="both"/>
      </w:pPr>
      <w:r>
        <w:t>– Trẻ 6 tuổi vào lớp 1; trẻ 11 tuổi hoàn thành chương trình tiểu học; trẻ từ 11 đến 14 tuổi hoàn thành chương trình tiểu học, trong đó thống kê riêng trẻ 14 tuổi.</w:t>
      </w:r>
    </w:p>
    <w:p>
      <w:pPr>
        <w:jc w:val="both"/>
      </w:pPr>
      <w:r>
        <w:t>– Trẻ 11 tuổi đang học tiểu học; trẻ từ 6 đến 14 tuổi chưa đi học, bỏ học; trẻ khuyết tật trong độ tuổi và số được tiếp cận giáo dục.</w:t>
      </w:r>
    </w:p>
    <w:p>
      <w:pPr>
        <w:jc w:val="both"/>
      </w:pPr>
      <w:r>
        <w:t>– Đối chiếu các tiêu chuẩn, điều kiện; xác định kết quả và mức độ đạt được qua tự kiểm tra.</w:t>
      </w:r>
    </w:p>
    <w:p>
      <w:r>
        <w:br w:type="page"/>
      </w:r>
    </w:p>
    <w:p>
      <w:pPr>
        <w:jc w:val="center"/>
      </w:pPr>
      <w:r>
        <w:rPr>
          <w:b/>
        </w:rPr>
        <w:lastRenderedPageBreak/>
        <w:t>PHỤ LỤC ĐỀ CƯƠNG BÁO CÁO (tiếp)</w:t>
      </w:r>
    </w:p>
    <w:p>
      <w:pPr>
        <w:jc w:val="both"/>
      </w:pPr>
      <w:r>
        <w:rPr>
          <w:b/>
        </w:rPr>
        <w:t>3. Phổ cập giáo dục trung học cơ sở</w:t>
      </w:r>
    </w:p>
    <w:p>
      <w:pPr>
        <w:jc w:val="both"/>
      </w:pPr>
      <w:r>
        <w:t>– Người từ 15 đến 18 tuổi: tổng số thuộc diện phổ cập, số tốt nghiệp THCS; số đang học chương trình giáo dục phổ thông, giáo dục thường xuyên hoặc giáo dục nghề nghiệp theo chỉ tiêu áp dụng.</w:t>
      </w:r>
    </w:p>
    <w:p>
      <w:pPr>
        <w:jc w:val="both"/>
      </w:pPr>
      <w:r>
        <w:t>– Người từ 11 đến 18 tuổi bỏ học, tách nhóm từ 11 đến 14 và từ 15 đến 18 tuổi; người khuyết tật trong độ tuổi và số được tiếp cận giáo dục.</w:t>
      </w:r>
    </w:p>
    <w:p>
      <w:pPr>
        <w:jc w:val="both"/>
      </w:pPr>
      <w:r>
        <w:t>– Số lớp, số người học phổ cập THCS (nếu có); đối chiếu tiêu chuẩn, điều kiện và xác định mức độ đạt được qua tự kiểm tra.</w:t>
      </w:r>
    </w:p>
    <w:p>
      <w:pPr>
        <w:jc w:val="both"/>
      </w:pPr>
      <w:r>
        <w:rPr>
          <w:b/>
        </w:rPr>
        <w:t>4. Tình hình học tập sau THCS và số liệu THPT</w:t>
      </w:r>
    </w:p>
    <w:p>
      <w:pPr>
        <w:jc w:val="both"/>
      </w:pPr>
      <w:r>
        <w:t>– Học sinh tốt nghiệp THCS trong năm; số tiếp tục học THPT, giáo dục thường xuyên cấp THPT hoặc giáo dục nghề nghiệp, phân theo từng loại hình.</w:t>
      </w:r>
    </w:p>
    <w:p>
      <w:pPr>
        <w:jc w:val="both"/>
      </w:pPr>
      <w:r>
        <w:t>– Học sinh tốt nghiệp THPT; tình hình học tập, trình độ của người từ 18 đến 21 tuổi, số ngoài nhà trường theo biểu thống kê và hướng dẫn của cấp trên.</w:t>
      </w:r>
    </w:p>
    <w:p>
      <w:pPr>
        <w:jc w:val="both"/>
      </w:pPr>
      <w:r>
        <w:rPr>
          <w:b/>
        </w:rPr>
        <w:t>5. Xóa mù chữ</w:t>
      </w:r>
    </w:p>
    <w:p>
      <w:pPr>
        <w:jc w:val="both"/>
      </w:pPr>
      <w:r>
        <w:t>– Thống kê theo các nhóm tuổi từ 15 đến 25, từ 15 đến 35 và từ 15 đến 60: tổng số người thuộc diện thống kê; số và tỷ lệ đạt chuẩn biết chữ mức độ 1, mức độ 2; số chưa đạt tương ứng. Phân nhóm đúng hướng dẫn, không cộng trùng các nhóm tuổi lồng nhau.</w:t>
      </w:r>
    </w:p>
    <w:p>
      <w:pPr>
        <w:jc w:val="both"/>
      </w:pPr>
      <w:r>
        <w:t>– Số lớp, số học viên xóa mù chữ; số học viên được công nhận biết chữ theo các mức độ (nếu có); kết quả đối chiếu tiêu chuẩn và mức độ đạt được qua tự kiểm tra.</w:t>
      </w:r>
    </w:p>
    <w:p>
      <w:pPr>
        <w:pStyle w:val="Heading2"/>
        <w:jc w:val="both"/>
      </w:pPr>
      <w:r>
        <w:t>III. Các điều kiện bảo đảm</w:t>
      </w:r>
    </w:p>
    <w:p>
      <w:r>
        <w:t>1. Cơ sở vật chất, phòng học, thiết bị và điều kiện tổ chức dạy học theo từng cấp học.</w:t>
      </w:r>
      <w:r>
        <w:br/>
        <w:t>2. Đội ngũ cán bộ quản lý, giáo viên, nhân viên; số lượng, trình độ và mức đáp ứng yêu cầu.</w:t>
      </w:r>
      <w:r>
        <w:br/>
        <w:t>3. Kinh phí thực hiện; nguồn kinh phí, kết quả sử dụng và nhu cầu bổ sung.</w:t>
      </w:r>
    </w:p>
    <w:p>
      <w:pPr>
        <w:pStyle w:val="Heading2"/>
        <w:jc w:val="both"/>
      </w:pPr>
      <w:r>
        <w:t>IV. Đánh giá chung</w:t>
      </w:r>
    </w:p>
    <w:p>
      <w:pPr>
        <w:jc w:val="both"/>
      </w:pPr>
      <w:r>
        <w:t>Ưu điểm; hạn chế, khó khăn và nguyên nhân; kết quả khắc phục sau tự kiểm tra. Nêu rõ kết quả tự đánh giá và nội dung đề nghị kiểm tra, công nhận, bảo đảm phù hợp hồ sơ minh chứng.</w:t>
      </w:r>
    </w:p>
    <w:p>
      <w:pPr>
        <w:pStyle w:val="Heading1"/>
        <w:jc w:val="both"/>
      </w:pPr>
      <w:r>
        <w:t>Phần II. PHƯƠNG HƯỚNG NHIỆM VỤ NĂM 2027</w:t>
      </w:r>
    </w:p>
    <w:p>
      <w:r>
        <w:t>1. Mục tiêu và chỉ tiêu theo từng cấp học, xóa mù chữ.</w:t>
      </w:r>
      <w:r>
        <w:br/>
        <w:t>2. Nhiệm vụ, giải pháp; đơn vị chủ trì, phối hợp và tiến độ thực hiện.</w:t>
      </w:r>
      <w:r>
        <w:br/>
        <w:t>3. Kiến nghị, đề xuất.</w:t>
      </w:r>
    </w:p>
    <w:p>
      <w:pPr>
        <w:jc w:val="both"/>
      </w:pPr>
      <w:r>
        <w:rPr>
          <w:sz w:val="24"/>
        </w:rPr>
        <w:t>Báo cáo kèm các biểu thống kê và tài liệu liên quan; sử dụng thống nhất cơ quan ban hành, số ký hiệu, thẩm quyền ký và nơi nhận theo hồ sơ trình chính thức.</w:t>
      </w:r>
    </w:p>
    <w:sectPr>
      <w:footerReference w:type="default" r:id="rId8"/>
      <w:pgSz w:w="11906" w:h="16838"/>
      <w:pgMar w:top="1020" w:right="1134" w:bottom="102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center"/>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75DBA8B-7073-44F8-B152-43FFBDED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00" w:line="259" w:lineRule="auto"/>
    </w:pPr>
    <w:rPr>
      <w:rFonts w:ascii="Times New Roman" w:eastAsia="Times New Roman" w:hAnsi="Times New Roman" w:cs="Times New Roman"/>
      <w:color w:val="000000"/>
      <w:sz w:val="26"/>
    </w:rPr>
  </w:style>
  <w:style w:type="paragraph" w:styleId="Heading1">
    <w:name w:val="heading 1"/>
    <w:basedOn w:val="Normal"/>
    <w:next w:val="Normal"/>
    <w:link w:val="Heading1Char"/>
    <w:uiPriority w:val="9"/>
    <w:qFormat/>
    <w:pPr>
      <w:keepNext/>
      <w:keepLines/>
      <w:spacing w:before="120"/>
      <w:outlineLvl w:val="0"/>
    </w:pPr>
    <w:rPr>
      <w:rFonts w:cstheme="majorBidi"/>
      <w:b/>
      <w:bCs/>
      <w:szCs w:val="28"/>
    </w:rPr>
  </w:style>
  <w:style w:type="paragraph" w:styleId="Heading2">
    <w:name w:val="heading 2"/>
    <w:basedOn w:val="Normal"/>
    <w:next w:val="Normal"/>
    <w:link w:val="Heading2Char"/>
    <w:uiPriority w:val="9"/>
    <w:unhideWhenUsed/>
    <w:qFormat/>
    <w:pPr>
      <w:keepNext/>
      <w:keepLines/>
      <w:spacing w:before="80"/>
      <w:outlineLvl w:val="1"/>
    </w:pPr>
    <w:rPr>
      <w:rFonts w:cstheme="majorBidi"/>
      <w:b/>
      <w:bCs/>
      <w:szCs w:val="26"/>
    </w:rPr>
  </w:style>
  <w:style w:type="paragraph" w:styleId="Heading3">
    <w:name w:val="heading 3"/>
    <w:basedOn w:val="Normal"/>
    <w:next w:val="Normal"/>
    <w:link w:val="Heading3Char"/>
    <w:uiPriority w:val="9"/>
    <w:unhideWhenUsed/>
    <w:qFormat/>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contextualSpacing/>
    </w:pPr>
    <w:rPr>
      <w:rFonts w:cstheme="majorBidi"/>
      <w:b/>
      <w:spacing w:val="5"/>
      <w:kern w:val="28"/>
      <w:sz w:val="28"/>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rPr>
      <w:rFonts w:cs="Times New Roman"/>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A624D-CDE2-452F-8400-F510260F5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dcterms:created xsi:type="dcterms:W3CDTF">2013-12-23T23:15:00Z</dcterms:created>
  <dcterms:modified xsi:type="dcterms:W3CDTF">2026-10-17T08:17:00Z</dcterms:modified>
  <cp:category/>
</cp:coreProperties>
</file>