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01" w:type="dxa"/>
        <w:tblInd w:w="-572" w:type="dxa"/>
        <w:tblLayout w:type="fixed"/>
        <w:tblLook w:val="04A0" w:firstRow="1" w:lastRow="0" w:firstColumn="1" w:lastColumn="0" w:noHBand="0" w:noVBand="1"/>
      </w:tblPr>
      <w:tblGrid>
        <w:gridCol w:w="4253"/>
        <w:gridCol w:w="5748"/>
      </w:tblGrid>
      <w:tr>
        <w:trPr>
          <w:trHeight w:val="1"/>
        </w:trPr>
        <w:tc>
          <w:tcPr>
            <w:tcW w:w="4253" w:type="dxa"/>
            <w:shd w:val="clear" w:color="000000" w:fill="FFFFFF"/>
          </w:tcPr>
          <w:p>
            <w:pPr>
              <w:widowControl w:val="0"/>
              <w:autoSpaceDE w:val="0"/>
              <w:autoSpaceDN w:val="0"/>
              <w:spacing w:after="0" w:line="240" w:lineRule="auto"/>
              <w:ind w:left="379" w:right="663" w:hanging="287"/>
              <w:jc w:val="center"/>
              <w:rPr>
                <w:rFonts w:eastAsia="Times New Roman"/>
                <w:b/>
                <w:color w:val="auto"/>
                <w:spacing w:val="-8"/>
              </w:rPr>
            </w:pPr>
            <w:r>
              <w:rPr>
                <w:rFonts w:eastAsia="SimSun"/>
                <w:b/>
                <w:bCs/>
                <w:spacing w:val="-10"/>
                <w:lang w:val="vi"/>
              </w:rPr>
              <w:t xml:space="preserve">      </w:t>
            </w:r>
            <w:r>
              <w:rPr>
                <w:rFonts w:eastAsia="Times New Roman"/>
                <w:b/>
                <w:color w:val="auto"/>
                <w:spacing w:val="-8"/>
                <w:lang w:val="vi"/>
              </w:rPr>
              <w:t>ỦY</w:t>
            </w:r>
            <w:r>
              <w:rPr>
                <w:rFonts w:eastAsia="Times New Roman"/>
                <w:b/>
                <w:color w:val="auto"/>
                <w:spacing w:val="-19"/>
                <w:lang w:val="vi"/>
              </w:rPr>
              <w:t xml:space="preserve"> </w:t>
            </w:r>
            <w:r>
              <w:rPr>
                <w:rFonts w:eastAsia="Times New Roman"/>
                <w:b/>
                <w:color w:val="auto"/>
                <w:spacing w:val="-8"/>
                <w:lang w:val="vi"/>
              </w:rPr>
              <w:t>BAN</w:t>
            </w:r>
            <w:r>
              <w:rPr>
                <w:rFonts w:eastAsia="Times New Roman"/>
                <w:b/>
                <w:color w:val="auto"/>
                <w:spacing w:val="-21"/>
                <w:lang w:val="vi"/>
              </w:rPr>
              <w:t xml:space="preserve"> </w:t>
            </w:r>
            <w:r>
              <w:rPr>
                <w:rFonts w:eastAsia="Times New Roman"/>
                <w:b/>
                <w:color w:val="auto"/>
                <w:spacing w:val="-8"/>
                <w:lang w:val="vi"/>
              </w:rPr>
              <w:t>NHÂN</w:t>
            </w:r>
            <w:r>
              <w:rPr>
                <w:rFonts w:eastAsia="Times New Roman"/>
                <w:b/>
                <w:color w:val="auto"/>
                <w:spacing w:val="-21"/>
                <w:lang w:val="vi"/>
              </w:rPr>
              <w:t xml:space="preserve"> </w:t>
            </w:r>
            <w:r>
              <w:rPr>
                <w:rFonts w:eastAsia="Times New Roman"/>
                <w:b/>
                <w:color w:val="auto"/>
                <w:spacing w:val="-8"/>
                <w:lang w:val="vi"/>
              </w:rPr>
              <w:t xml:space="preserve">DÂN </w:t>
            </w:r>
          </w:p>
          <w:p>
            <w:pPr>
              <w:widowControl w:val="0"/>
              <w:autoSpaceDE w:val="0"/>
              <w:autoSpaceDN w:val="0"/>
              <w:spacing w:after="0" w:line="240" w:lineRule="auto"/>
              <w:ind w:left="376" w:right="663" w:hanging="284"/>
              <w:jc w:val="center"/>
              <w:rPr>
                <w:rFonts w:eastAsia="Times New Roman"/>
                <w:b/>
                <w:color w:val="auto"/>
              </w:rPr>
            </w:pPr>
            <w:r>
              <w:rPr>
                <w:rFonts w:eastAsia="Times New Roman"/>
                <w:b/>
                <w:noProof/>
                <w:color w:val="auto"/>
                <w:sz w:val="27"/>
                <w:szCs w:val="22"/>
              </w:rPr>
              <mc:AlternateContent>
                <mc:Choice Requires="wps">
                  <w:drawing>
                    <wp:anchor distT="0" distB="0" distL="114300" distR="114300" simplePos="0" relativeHeight="251660288" behindDoc="0" locked="0" layoutInCell="1" allowOverlap="1">
                      <wp:simplePos x="0" y="0"/>
                      <wp:positionH relativeFrom="column">
                        <wp:posOffset>619125</wp:posOffset>
                      </wp:positionH>
                      <wp:positionV relativeFrom="paragraph">
                        <wp:posOffset>220345</wp:posOffset>
                      </wp:positionV>
                      <wp:extent cx="1117600" cy="0"/>
                      <wp:effectExtent l="0" t="0" r="25400" b="19050"/>
                      <wp:wrapTopAndBottom/>
                      <wp:docPr id="243192746" name="Straight Connector 5"/>
                      <wp:cNvGraphicFramePr/>
                      <a:graphic xmlns:a="http://schemas.openxmlformats.org/drawingml/2006/main">
                        <a:graphicData uri="http://schemas.microsoft.com/office/word/2010/wordprocessingShape">
                          <wps:wsp>
                            <wps:cNvCnPr/>
                            <wps:spPr>
                              <a:xfrm>
                                <a:off x="0" y="0"/>
                                <a:ext cx="1117600"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id="Straight Connector 5"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75pt,17.35pt" to="136.7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" strokecolor="windowText" strokeweight=".5pt">
                      <v:stroke joinstyle="miter"/>
                      <w10:wrap type="topAndBottom"/>
                    </v:line>
                  </w:pict>
                </mc:Fallback>
              </mc:AlternateContent>
            </w:r>
            <w:r>
              <w:rPr>
                <w:rFonts w:eastAsia="Times New Roman"/>
                <w:b/>
                <w:color w:val="auto"/>
              </w:rPr>
              <w:t xml:space="preserve">    </w:t>
            </w:r>
            <w:r>
              <w:rPr>
                <w:rFonts w:eastAsia="Times New Roman"/>
                <w:b/>
                <w:color w:val="auto"/>
                <w:lang w:val="vi"/>
              </w:rPr>
              <w:t>XÃ</w:t>
            </w:r>
            <w:r>
              <w:rPr>
                <w:rFonts w:eastAsia="Times New Roman"/>
                <w:b/>
                <w:color w:val="auto"/>
                <w:spacing w:val="40"/>
                <w:lang w:val="vi"/>
              </w:rPr>
              <w:t xml:space="preserve"> </w:t>
            </w:r>
            <w:r>
              <w:rPr>
                <w:rFonts w:eastAsia="Times New Roman"/>
                <w:b/>
                <w:color w:val="auto"/>
              </w:rPr>
              <w:t>HƯƠNG SƠN</w:t>
            </w:r>
          </w:p>
          <w:p>
            <w:pPr>
              <w:widowControl w:val="0"/>
              <w:autoSpaceDE w:val="0"/>
              <w:autoSpaceDN w:val="0"/>
              <w:spacing w:after="0" w:line="276" w:lineRule="auto"/>
              <w:ind w:right="664"/>
              <w:rPr>
                <w:rFonts w:eastAsia="Times New Roman"/>
                <w:color w:val="auto"/>
                <w:spacing w:val="-6"/>
                <w:sz w:val="26"/>
                <w:szCs w:val="22"/>
              </w:rPr>
            </w:pPr>
            <w:r>
              <w:rPr>
                <w:rFonts w:eastAsia="Times New Roman"/>
                <w:color w:val="auto"/>
                <w:spacing w:val="-6"/>
                <w:sz w:val="26"/>
                <w:szCs w:val="22"/>
              </w:rPr>
              <w:t xml:space="preserve">            </w:t>
            </w:r>
            <w:r>
              <w:rPr>
                <w:rFonts w:eastAsia="Times New Roman"/>
                <w:color w:val="auto"/>
                <w:spacing w:val="-6"/>
                <w:sz w:val="26"/>
                <w:szCs w:val="22"/>
                <w:lang w:val="vi"/>
              </w:rPr>
              <w:t>Số:</w:t>
            </w:r>
            <w:r>
              <w:rPr>
                <w:rFonts w:eastAsia="Times New Roman"/>
                <w:color w:val="auto"/>
                <w:spacing w:val="-6"/>
                <w:position w:val="-2"/>
                <w:sz w:val="24"/>
                <w:szCs w:val="22"/>
              </w:rPr>
              <w:t xml:space="preserve">       </w:t>
            </w:r>
            <w:r>
              <w:rPr>
                <w:rFonts w:eastAsia="Times New Roman"/>
                <w:color w:val="auto"/>
                <w:spacing w:val="-6"/>
                <w:sz w:val="26"/>
                <w:szCs w:val="22"/>
                <w:lang w:val="vi"/>
              </w:rPr>
              <w:t>/UBND-VHXH</w:t>
            </w:r>
          </w:p>
          <w:p>
            <w:pPr>
              <w:widowControl w:val="0"/>
              <w:autoSpaceDE w:val="0"/>
              <w:autoSpaceDN w:val="0"/>
              <w:spacing w:after="0" w:line="240" w:lineRule="auto"/>
              <w:ind w:right="675"/>
              <w:jc w:val="center"/>
              <w:rPr>
                <w:rFonts w:eastAsia="Times New Roman"/>
                <w:color w:val="auto"/>
                <w:sz w:val="22"/>
                <w:szCs w:val="22"/>
              </w:rPr>
            </w:pPr>
            <w:r>
              <w:rPr>
                <w:rFonts w:eastAsia="Times New Roman"/>
                <w:color w:val="auto"/>
                <w:spacing w:val="-6"/>
                <w:sz w:val="24"/>
                <w:szCs w:val="24"/>
              </w:rPr>
              <w:t>V/v tăng cường công tác quản lý, phòng ngừa tội phạm, vi phạm pháp luật trong lĩnh vực dược</w:t>
            </w:r>
          </w:p>
        </w:tc>
        <w:tc>
          <w:tcPr>
            <w:tcW w:w="5748" w:type="dxa"/>
            <w:shd w:val="clear" w:color="000000" w:fill="FFFFFF"/>
          </w:tcPr>
          <w:p>
            <w:pPr>
              <w:tabs>
                <w:tab w:val="left" w:pos="3975"/>
                <w:tab w:val="right" w:pos="9074"/>
              </w:tabs>
              <w:autoSpaceDE w:val="0"/>
              <w:autoSpaceDN w:val="0"/>
              <w:adjustRightInd w:val="0"/>
              <w:spacing w:after="0" w:line="276" w:lineRule="auto"/>
              <w:jc w:val="center"/>
              <w:rPr>
                <w:rFonts w:eastAsia="SimSun"/>
                <w:b/>
                <w:bCs/>
                <w:spacing w:val="-10"/>
              </w:rPr>
            </w:pPr>
            <w:r>
              <w:rPr>
                <w:rFonts w:eastAsia="SimSun"/>
                <w:b/>
                <w:bCs/>
                <w:spacing w:val="-10"/>
              </w:rPr>
              <w:t>CỘNG HÒA XÃ HỘI CHỦ NGHĨA VIỆT NAM</w:t>
            </w:r>
          </w:p>
          <w:p>
            <w:pPr>
              <w:tabs>
                <w:tab w:val="left" w:pos="3975"/>
                <w:tab w:val="right" w:pos="9074"/>
              </w:tabs>
              <w:autoSpaceDE w:val="0"/>
              <w:autoSpaceDN w:val="0"/>
              <w:adjustRightInd w:val="0"/>
              <w:spacing w:after="0" w:line="276" w:lineRule="auto"/>
              <w:jc w:val="center"/>
              <w:rPr>
                <w:rFonts w:eastAsia="SimSun"/>
                <w:b/>
                <w:bCs/>
                <w:spacing w:val="-10"/>
              </w:rPr>
            </w:pPr>
            <w:r>
              <w:rPr>
                <w:rFonts w:eastAsia="SimSun"/>
                <w:i/>
                <w:iCs/>
                <w:noProof/>
                <w:spacing w:val="-10"/>
              </w:rPr>
              <mc:AlternateContent>
                <mc:Choice Requires="wps">
                  <w:drawing>
                    <wp:anchor distT="0" distB="0" distL="114300" distR="114300" simplePos="0" relativeHeight="251659264" behindDoc="0" locked="0" layoutInCell="1" allowOverlap="1">
                      <wp:simplePos x="0" y="0"/>
                      <wp:positionH relativeFrom="column">
                        <wp:posOffset>861060</wp:posOffset>
                      </wp:positionH>
                      <wp:positionV relativeFrom="paragraph">
                        <wp:posOffset>224732</wp:posOffset>
                      </wp:positionV>
                      <wp:extent cx="1695450" cy="0"/>
                      <wp:effectExtent l="0" t="0" r="19050" b="19050"/>
                      <wp:wrapNone/>
                      <wp:docPr id="1646077211" name="Straight Connector 4"/>
                      <wp:cNvGraphicFramePr/>
                      <a:graphic xmlns:a="http://schemas.openxmlformats.org/drawingml/2006/main">
                        <a:graphicData uri="http://schemas.microsoft.com/office/word/2010/wordprocessingShape">
                          <wps:wsp>
                            <wps:cNvCnPr/>
                            <wps:spPr>
                              <a:xfrm flipV="1">
                                <a:off x="0" y="0"/>
                                <a:ext cx="1695450"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id="Straight Connector 4"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7.8pt,17.7pt" to="201.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" strokecolor="windowText" strokeweight=".5pt">
                      <v:stroke joinstyle="miter"/>
                    </v:line>
                  </w:pict>
                </mc:Fallback>
              </mc:AlternateContent>
            </w:r>
            <w:r>
              <w:rPr>
                <w:rFonts w:eastAsia="SimSun"/>
                <w:b/>
                <w:bCs/>
                <w:spacing w:val="-10"/>
              </w:rPr>
              <w:t>Độc lập - Tự do - Hạnh phúc</w:t>
            </w:r>
          </w:p>
          <w:p>
            <w:pPr>
              <w:tabs>
                <w:tab w:val="left" w:pos="3975"/>
                <w:tab w:val="right" w:pos="9074"/>
              </w:tabs>
              <w:autoSpaceDE w:val="0"/>
              <w:autoSpaceDN w:val="0"/>
              <w:adjustRightInd w:val="0"/>
              <w:spacing w:after="0" w:line="276" w:lineRule="auto"/>
              <w:jc w:val="center"/>
              <w:rPr>
                <w:rFonts w:eastAsia="SimSun"/>
                <w:i/>
                <w:iCs/>
              </w:rPr>
            </w:pPr>
            <w:r>
              <w:rPr>
                <w:rFonts w:eastAsia="SimSun"/>
                <w:i/>
                <w:iCs/>
              </w:rPr>
              <w:t xml:space="preserve">       Hương Sơn, ngày       tháng 10 năm 2026</w:t>
            </w:r>
          </w:p>
          <w:p>
            <w:pPr>
              <w:tabs>
                <w:tab w:val="left" w:pos="3975"/>
                <w:tab w:val="right" w:pos="9074"/>
              </w:tabs>
              <w:autoSpaceDE w:val="0"/>
              <w:autoSpaceDN w:val="0"/>
              <w:adjustRightInd w:val="0"/>
              <w:spacing w:after="0" w:line="276" w:lineRule="auto"/>
              <w:jc w:val="center"/>
              <w:rPr>
                <w:rFonts w:eastAsia="SimSun"/>
                <w:i/>
                <w:iCs/>
              </w:rPr>
            </w:pPr>
          </w:p>
          <w:p>
            <w:pPr>
              <w:tabs>
                <w:tab w:val="left" w:pos="3975"/>
                <w:tab w:val="right" w:pos="9074"/>
              </w:tabs>
              <w:autoSpaceDE w:val="0"/>
              <w:autoSpaceDN w:val="0"/>
              <w:adjustRightInd w:val="0"/>
              <w:spacing w:after="0" w:line="276" w:lineRule="auto"/>
              <w:jc w:val="center"/>
              <w:rPr>
                <w:rFonts w:eastAsia="SimSun"/>
                <w:spacing w:val="-10"/>
              </w:rPr>
            </w:pPr>
          </w:p>
        </w:tc>
      </w:tr>
    </w:tbl>
    <w:p>
      <w:pPr>
        <w:spacing w:after="0" w:line="240" w:lineRule="auto"/>
        <w:rPr>
          <w:rFonts w:eastAsia="Times New Roman"/>
          <w:bCs/>
          <w:color w:val="auto"/>
          <w:lang w:val="vi-VN"/>
        </w:rPr>
      </w:pPr>
    </w:p>
    <w:p>
      <w:pPr>
        <w:spacing w:after="0" w:line="240" w:lineRule="auto"/>
        <w:ind w:left="1440" w:firstLine="720"/>
        <w:rPr>
          <w:rFonts w:eastAsia="Times New Roman"/>
          <w:bCs/>
          <w:color w:val="auto"/>
          <w:spacing w:val="-22"/>
          <w:lang w:val="vi-VN"/>
        </w:rPr>
      </w:pPr>
      <w:r>
        <w:rPr>
          <w:rFonts w:eastAsia="Times New Roman"/>
          <w:color w:val="auto"/>
          <w:lang w:val="vi-VN"/>
        </w:rPr>
        <w:t xml:space="preserve">    </w:t>
      </w:r>
      <w:r>
        <w:rPr>
          <w:rFonts w:eastAsia="Times New Roman"/>
          <w:color w:val="auto"/>
        </w:rPr>
        <w:t>Kính gửi</w:t>
      </w:r>
      <w:r>
        <w:rPr>
          <w:rFonts w:eastAsia="Times New Roman"/>
          <w:b/>
          <w:bCs/>
          <w:color w:val="auto"/>
        </w:rPr>
        <w:t>:</w:t>
      </w:r>
      <w:r>
        <w:rPr>
          <w:rFonts w:eastAsia="Times New Roman"/>
          <w:bCs/>
          <w:color w:val="auto"/>
          <w:lang w:val="vi-VN"/>
        </w:rPr>
        <w:t xml:space="preserve"> </w:t>
      </w:r>
      <w:r>
        <w:rPr>
          <w:rFonts w:eastAsia="Times New Roman"/>
          <w:bCs/>
          <w:color w:val="auto"/>
        </w:rPr>
        <w:t xml:space="preserve">- </w:t>
      </w:r>
      <w:r>
        <w:rPr>
          <w:rFonts w:eastAsia="Times New Roman"/>
          <w:bCs/>
          <w:color w:val="auto"/>
          <w:spacing w:val="-22"/>
        </w:rPr>
        <w:t>Phòng</w:t>
      </w:r>
      <w:r>
        <w:rPr>
          <w:rFonts w:eastAsia="Times New Roman"/>
          <w:bCs/>
          <w:color w:val="auto"/>
          <w:spacing w:val="-22"/>
          <w:lang w:val="vi-VN"/>
        </w:rPr>
        <w:t xml:space="preserve"> Văn hóa - Xã hội</w:t>
      </w:r>
      <w:r>
        <w:rPr>
          <w:rFonts w:eastAsia="Times New Roman"/>
          <w:bCs/>
          <w:color w:val="auto"/>
          <w:spacing w:val="-22"/>
        </w:rPr>
        <w:t>;</w:t>
      </w:r>
    </w:p>
    <w:p>
      <w:pPr>
        <w:spacing w:after="0" w:line="240" w:lineRule="auto"/>
        <w:ind w:left="2880" w:firstLine="720"/>
        <w:rPr>
          <w:rFonts w:eastAsia="Times New Roman"/>
          <w:bCs/>
          <w:color w:val="auto"/>
          <w:lang w:val="vi-VN"/>
        </w:rPr>
      </w:pPr>
      <w:r>
        <w:rPr>
          <w:rFonts w:eastAsia="Times New Roman"/>
          <w:bCs/>
          <w:color w:val="auto"/>
          <w:lang w:val="vi-VN"/>
        </w:rPr>
        <w:t xml:space="preserve">- </w:t>
      </w:r>
      <w:r>
        <w:rPr>
          <w:rFonts w:eastAsia="Times New Roman"/>
          <w:bCs/>
          <w:color w:val="auto"/>
        </w:rPr>
        <w:t>Trạm Y tế xã</w:t>
      </w:r>
      <w:r>
        <w:rPr>
          <w:rFonts w:eastAsia="Times New Roman"/>
          <w:bCs/>
          <w:color w:val="auto"/>
          <w:lang w:val="vi-VN"/>
        </w:rPr>
        <w:t>;</w:t>
      </w:r>
    </w:p>
    <w:p>
      <w:pPr>
        <w:spacing w:after="0" w:line="240" w:lineRule="auto"/>
        <w:ind w:left="2880" w:firstLine="720"/>
        <w:jc w:val="both"/>
        <w:rPr>
          <w:rFonts w:eastAsia="Times New Roman"/>
          <w:bCs/>
          <w:color w:val="auto"/>
        </w:rPr>
      </w:pPr>
      <w:r>
        <w:rPr>
          <w:rFonts w:eastAsia="Times New Roman"/>
          <w:bCs/>
          <w:color w:val="auto"/>
        </w:rPr>
        <w:t>- Công an xã;</w:t>
      </w:r>
    </w:p>
    <w:p>
      <w:pPr>
        <w:spacing w:after="0" w:line="240" w:lineRule="auto"/>
        <w:ind w:left="2880" w:firstLine="720"/>
        <w:jc w:val="both"/>
        <w:rPr>
          <w:rFonts w:eastAsia="Times New Roman"/>
          <w:bCs/>
          <w:color w:val="auto"/>
          <w:lang w:val="vi-VN"/>
        </w:rPr>
      </w:pPr>
      <w:r>
        <w:rPr>
          <w:rFonts w:eastAsia="Times New Roman"/>
          <w:bCs/>
          <w:color w:val="auto"/>
        </w:rPr>
        <w:t>- Các cơ sở kinh doanh dược trên địa bàn xã;</w:t>
      </w:r>
    </w:p>
    <w:p>
      <w:pPr>
        <w:spacing w:after="0" w:line="240" w:lineRule="auto"/>
        <w:jc w:val="both"/>
        <w:rPr>
          <w:rFonts w:eastAsia="Times New Roman"/>
          <w:bCs/>
          <w:color w:val="auto"/>
          <w:lang w:val="vi-VN"/>
        </w:rPr>
      </w:pPr>
    </w:p>
    <w:p>
      <w:pPr>
        <w:pStyle w:val="NormalWeb"/>
        <w:spacing w:before="0" w:beforeAutospacing="0" w:after="0" w:afterAutospacing="0"/>
        <w:ind w:firstLine="720"/>
        <w:jc w:val="both"/>
        <w:rPr>
          <w:sz w:val="28"/>
          <w:szCs w:val="28"/>
        </w:rPr>
      </w:pPr>
      <w:r>
        <w:rPr>
          <w:sz w:val="28"/>
          <w:szCs w:val="28"/>
        </w:rPr>
        <w:t>Thực hiện Công văn số 4757/SYT-NVD ngày 26/10/2026 của Sở Y tế tỉnh Hà Tĩnh về việc tăng cường công tác quản lý, phòng ngừa tội phạm, vi phạm pháp luật trong lĩnh vực dược, UBND xã Hương Sơn yêu cầu các cơ quan, đơn vị và các cơ sở kinh doanh dược trên địa bàn triển khai thực hiện các nội dung sau:</w:t>
      </w:r>
    </w:p>
    <w:p>
      <w:pPr>
        <w:pStyle w:val="NormalWeb"/>
        <w:numPr>
          <w:ilvl w:val="0"/>
          <w:numId w:val="6"/>
        </w:numPr>
        <w:spacing w:before="0" w:beforeAutospacing="0" w:after="0" w:afterAutospacing="0"/>
        <w:jc w:val="both"/>
        <w:rPr>
          <w:sz w:val="28"/>
          <w:szCs w:val="28"/>
        </w:rPr>
      </w:pPr>
      <w:r>
        <w:rPr>
          <w:rStyle w:val="Strong"/>
          <w:rFonts w:eastAsiaTheme="majorEastAsia"/>
          <w:sz w:val="28"/>
          <w:szCs w:val="28"/>
        </w:rPr>
        <w:t>Phòng Văn hóa - Xã hội</w:t>
      </w:r>
    </w:p>
    <w:p>
      <w:pPr>
        <w:pStyle w:val="NormalWeb"/>
        <w:spacing w:before="0" w:beforeAutospacing="0" w:after="0" w:afterAutospacing="0"/>
        <w:ind w:firstLine="720"/>
        <w:jc w:val="both"/>
        <w:rPr>
          <w:sz w:val="28"/>
          <w:szCs w:val="28"/>
        </w:rPr>
      </w:pPr>
      <w:r>
        <w:rPr>
          <w:sz w:val="28"/>
          <w:szCs w:val="28"/>
        </w:rPr>
        <w:t>- Chủ trì, phối hợp với Trạm Y tế xã và các cơ quan, đơn vị liên quan tham mưu UBND xã triển khai công tác quản lý nhà nước trong lĩnh vực dược; theo dõi, đôn đốc việc thực hiện các nội dung tại Công văn này.</w:t>
      </w:r>
    </w:p>
    <w:p>
      <w:pPr>
        <w:pStyle w:val="NormalWeb"/>
        <w:spacing w:before="0" w:beforeAutospacing="0" w:after="0" w:afterAutospacing="0"/>
        <w:ind w:firstLine="720"/>
        <w:jc w:val="both"/>
        <w:rPr>
          <w:sz w:val="28"/>
          <w:szCs w:val="28"/>
        </w:rPr>
      </w:pPr>
      <w:r>
        <w:rPr>
          <w:sz w:val="28"/>
          <w:szCs w:val="28"/>
        </w:rPr>
        <w:t>- Phối hợp tổ chức tuyên truyền trên hệ thống truyền thanh và bằng các hình thức phù hợp về cách nhận biết, phòng tránh thuốc giả, thuốc không rõ nguồn gốc, xuất xứ và thực phẩm bảo vệ sức khỏe giả; vận động người dân kịp thời phản ánh các dấu hiệu vi phạm đến cơ quan chức năng.</w:t>
      </w:r>
    </w:p>
    <w:p>
      <w:pPr>
        <w:pStyle w:val="NormalWeb"/>
        <w:spacing w:before="0" w:beforeAutospacing="0" w:after="0" w:afterAutospacing="0"/>
        <w:ind w:firstLine="720"/>
        <w:jc w:val="both"/>
        <w:rPr>
          <w:sz w:val="28"/>
          <w:szCs w:val="28"/>
        </w:rPr>
      </w:pPr>
      <w:r>
        <w:rPr>
          <w:sz w:val="28"/>
          <w:szCs w:val="28"/>
        </w:rPr>
        <w:t>- Tổng hợp tình hình thực hiện, những khó khăn, vướng mắc và kiến nghị của các cơ quan, đơn vị; tham mưu UBND xã chỉ đạo giải quyết theo thẩm quyền và báo cáo khi có yêu cầu.</w:t>
      </w:r>
    </w:p>
    <w:p>
      <w:pPr>
        <w:pStyle w:val="NormalWeb"/>
        <w:spacing w:before="0" w:beforeAutospacing="0" w:after="0" w:afterAutospacing="0"/>
        <w:ind w:firstLine="720"/>
        <w:jc w:val="both"/>
        <w:rPr>
          <w:sz w:val="28"/>
          <w:szCs w:val="28"/>
        </w:rPr>
      </w:pPr>
      <w:r>
        <w:rPr>
          <w:rStyle w:val="Strong"/>
          <w:rFonts w:eastAsiaTheme="majorEastAsia"/>
          <w:sz w:val="28"/>
          <w:szCs w:val="28"/>
        </w:rPr>
        <w:t>2. Trạm Y tế xã</w:t>
      </w:r>
    </w:p>
    <w:p>
      <w:pPr>
        <w:pStyle w:val="NormalWeb"/>
        <w:spacing w:before="0" w:beforeAutospacing="0" w:after="0" w:afterAutospacing="0"/>
        <w:ind w:firstLine="720"/>
        <w:jc w:val="both"/>
        <w:rPr>
          <w:sz w:val="28"/>
          <w:szCs w:val="28"/>
        </w:rPr>
      </w:pPr>
      <w:r>
        <w:rPr>
          <w:sz w:val="28"/>
          <w:szCs w:val="28"/>
        </w:rPr>
        <w:t>- Phối hợp tuyên truyền, hướng dẫn người dân nhận biết, phòng tránh thuốc giả, thuốc không rõ nguồn gốc, xuất xứ và thực phẩm bảo vệ sức khỏe giả; khuyến cáo người dân mua thuốc tại các cơ sở kinh doanh dược hợp pháp, sử dụng thuốc an toàn, hợp lý.</w:t>
      </w:r>
    </w:p>
    <w:p>
      <w:pPr>
        <w:pStyle w:val="NormalWeb"/>
        <w:spacing w:before="0" w:beforeAutospacing="0" w:after="0" w:afterAutospacing="0"/>
        <w:ind w:firstLine="720"/>
        <w:jc w:val="both"/>
        <w:rPr>
          <w:sz w:val="28"/>
          <w:szCs w:val="28"/>
        </w:rPr>
      </w:pPr>
      <w:r>
        <w:rPr>
          <w:sz w:val="28"/>
          <w:szCs w:val="28"/>
        </w:rPr>
        <w:t>- Phối hợp rà soát, nắm tình hình hoạt động của các cơ sở kinh doanh dược trên địa bàn; hướng dẫn các cơ sở thực hiện quy định về điều kiện kinh doanh, nguồn gốc, chất lượng, bảo quản thuốc và bán thuốc theo đơn.</w:t>
      </w:r>
    </w:p>
    <w:p>
      <w:pPr>
        <w:pStyle w:val="NormalWeb"/>
        <w:spacing w:before="0" w:beforeAutospacing="0" w:after="0" w:afterAutospacing="0"/>
        <w:ind w:firstLine="720"/>
        <w:jc w:val="both"/>
        <w:rPr>
          <w:sz w:val="28"/>
          <w:szCs w:val="28"/>
        </w:rPr>
      </w:pPr>
      <w:r>
        <w:rPr>
          <w:sz w:val="28"/>
          <w:szCs w:val="28"/>
        </w:rPr>
        <w:t>- Khi phát hiện hoặc tiếp nhận thông tin về dấu hiệu vi phạm trong lĩnh vực dược, kịp thời báo cáo UBND xã và phối hợp với cơ quan chức năng kiểm tra, xác minh, xử lý theo quy định.</w:t>
      </w:r>
    </w:p>
    <w:p>
      <w:pPr>
        <w:pStyle w:val="NormalWeb"/>
        <w:spacing w:before="0" w:beforeAutospacing="0" w:after="0" w:afterAutospacing="0"/>
        <w:ind w:firstLine="720"/>
        <w:jc w:val="both"/>
        <w:rPr>
          <w:sz w:val="28"/>
          <w:szCs w:val="28"/>
        </w:rPr>
      </w:pPr>
      <w:r>
        <w:rPr>
          <w:rStyle w:val="Strong"/>
          <w:rFonts w:eastAsiaTheme="majorEastAsia"/>
          <w:sz w:val="28"/>
          <w:szCs w:val="28"/>
        </w:rPr>
        <w:t>3. Công an xã</w:t>
      </w:r>
    </w:p>
    <w:p>
      <w:pPr>
        <w:pStyle w:val="NormalWeb"/>
        <w:spacing w:before="0" w:beforeAutospacing="0" w:after="0" w:afterAutospacing="0"/>
        <w:ind w:firstLine="720"/>
        <w:jc w:val="both"/>
        <w:rPr>
          <w:sz w:val="28"/>
          <w:szCs w:val="28"/>
        </w:rPr>
      </w:pPr>
      <w:r>
        <w:rPr>
          <w:sz w:val="28"/>
          <w:szCs w:val="28"/>
        </w:rPr>
        <w:t>- Chủ động nắm tình hình, phối hợp với Trạm Y tế xã và các cơ quan liên quan phòng ngừa, phát hiện các hành vi sản xuất, buôn bán, vận chuyển, tàng trữ thuốc giả, thuốc không rõ nguồn gốc, xuất xứ và các hành vi vi phạm pháp luật khác trong lĩnh vực dược.</w:t>
      </w:r>
    </w:p>
    <w:p>
      <w:pPr>
        <w:pStyle w:val="NormalWeb"/>
        <w:spacing w:before="0" w:beforeAutospacing="0" w:after="0" w:afterAutospacing="0"/>
        <w:ind w:firstLine="720"/>
        <w:jc w:val="both"/>
        <w:rPr>
          <w:sz w:val="28"/>
          <w:szCs w:val="28"/>
        </w:rPr>
      </w:pPr>
      <w:r>
        <w:rPr>
          <w:sz w:val="28"/>
          <w:szCs w:val="28"/>
        </w:rPr>
        <w:lastRenderedPageBreak/>
        <w:t>- Tiếp nhận, xác minh thông tin về các vụ việc có dấu hiệu vi phạm pháp luật; kịp thời ngăn chặn, xử lý theo thẩm quyền hoặc chuyển cơ quan có thẩm quyền xử lý theo quy định.</w:t>
      </w:r>
    </w:p>
    <w:p>
      <w:pPr>
        <w:pStyle w:val="NormalWeb"/>
        <w:spacing w:before="0" w:beforeAutospacing="0" w:after="0" w:afterAutospacing="0"/>
        <w:ind w:firstLine="720"/>
        <w:jc w:val="both"/>
        <w:rPr>
          <w:sz w:val="28"/>
          <w:szCs w:val="28"/>
        </w:rPr>
      </w:pPr>
      <w:r>
        <w:rPr>
          <w:sz w:val="28"/>
          <w:szCs w:val="28"/>
        </w:rPr>
        <w:t>- Phối hợp tuyên truyền, vận động Nhân dân nâng cao cảnh giác, chủ động cung cấp thông tin về các hành vi vi phạm pháp luật trong lĩnh vực dược.</w:t>
      </w:r>
    </w:p>
    <w:p>
      <w:pPr>
        <w:pStyle w:val="NormalWeb"/>
        <w:spacing w:before="0" w:beforeAutospacing="0" w:after="0" w:afterAutospacing="0"/>
        <w:ind w:firstLine="720"/>
        <w:jc w:val="both"/>
        <w:rPr>
          <w:sz w:val="28"/>
          <w:szCs w:val="28"/>
        </w:rPr>
      </w:pPr>
      <w:r>
        <w:rPr>
          <w:rStyle w:val="Strong"/>
          <w:rFonts w:eastAsiaTheme="majorEastAsia"/>
          <w:sz w:val="28"/>
          <w:szCs w:val="28"/>
        </w:rPr>
        <w:t>4. Các cơ sở kinh doanh dược trên địa bàn xã</w:t>
      </w:r>
    </w:p>
    <w:p>
      <w:pPr>
        <w:pStyle w:val="NormalWeb"/>
        <w:spacing w:before="0" w:beforeAutospacing="0" w:after="0" w:afterAutospacing="0"/>
        <w:ind w:firstLine="720"/>
        <w:jc w:val="both"/>
        <w:rPr>
          <w:sz w:val="28"/>
          <w:szCs w:val="28"/>
        </w:rPr>
      </w:pPr>
      <w:r>
        <w:rPr>
          <w:sz w:val="28"/>
          <w:szCs w:val="28"/>
        </w:rPr>
        <w:t>- Chấp hành nghiêm các quy định của pháp luật về kinh doanh dược; duy trì đầy đủ các điều kiện kinh doanh, bảo đảm yêu cầu về cơ sở vật chất, trang thiết bị và nhân sự chuyên môn theo quy định.</w:t>
      </w:r>
    </w:p>
    <w:p>
      <w:pPr>
        <w:pStyle w:val="NormalWeb"/>
        <w:spacing w:before="0" w:beforeAutospacing="0" w:after="0" w:afterAutospacing="0"/>
        <w:ind w:firstLine="720"/>
        <w:jc w:val="both"/>
        <w:rPr>
          <w:sz w:val="28"/>
          <w:szCs w:val="28"/>
        </w:rPr>
      </w:pPr>
      <w:r>
        <w:rPr>
          <w:sz w:val="28"/>
          <w:szCs w:val="28"/>
        </w:rPr>
        <w:t>- Kiểm soát chặt chẽ nguồn gốc, xuất xứ và chất lượng thuốc; chỉ mua, nhập thuốc từ các cơ sở cung ứng hợp pháp, có đầy đủ hóa đơn, chứng từ theo quy định; không kinh doanh thuốc giả, thuốc không rõ nguồn gốc, xuất xứ, thuốc hết hạn sử dụng hoặc thuốc không bảo đảm chất lượng.</w:t>
      </w:r>
    </w:p>
    <w:p>
      <w:pPr>
        <w:pStyle w:val="NormalWeb"/>
        <w:spacing w:before="0" w:beforeAutospacing="0" w:after="0" w:afterAutospacing="0"/>
        <w:ind w:firstLine="720"/>
        <w:jc w:val="both"/>
        <w:rPr>
          <w:sz w:val="28"/>
          <w:szCs w:val="28"/>
        </w:rPr>
      </w:pPr>
      <w:r>
        <w:rPr>
          <w:sz w:val="28"/>
          <w:szCs w:val="28"/>
        </w:rPr>
        <w:t>- Thực hiện nghiêm quy định về bán thuốc theo đơn; chỉ bán thuốc kê đơn khi có đơn thuốc hợp lệ; tư vấn, hướng dẫn người mua sử dụng thuốc an toàn, hợp lý, đúng chỉ định.</w:t>
      </w:r>
    </w:p>
    <w:p>
      <w:pPr>
        <w:pStyle w:val="NormalWeb"/>
        <w:spacing w:before="0" w:beforeAutospacing="0" w:after="0" w:afterAutospacing="0"/>
        <w:ind w:firstLine="720"/>
        <w:jc w:val="both"/>
        <w:rPr>
          <w:sz w:val="28"/>
          <w:szCs w:val="28"/>
        </w:rPr>
      </w:pPr>
      <w:r>
        <w:rPr>
          <w:sz w:val="28"/>
          <w:szCs w:val="28"/>
        </w:rPr>
        <w:t>- Thường xuyên tự kiểm tra hồ sơ pháp lý, điều kiện kinh doanh, việc bảo quản thuốc, hóa đơn, chứng từ, niêm yết giá và việc chấp hành các quy định chuyên môn có liên quan; kịp thời khắc phục các tồn tại, thiếu sót.</w:t>
      </w:r>
    </w:p>
    <w:p>
      <w:pPr>
        <w:pStyle w:val="NormalWeb"/>
        <w:spacing w:before="0" w:beforeAutospacing="0" w:after="0" w:afterAutospacing="0"/>
        <w:ind w:firstLine="720"/>
        <w:jc w:val="both"/>
        <w:rPr>
          <w:sz w:val="28"/>
          <w:szCs w:val="28"/>
        </w:rPr>
      </w:pPr>
      <w:r>
        <w:rPr>
          <w:sz w:val="28"/>
          <w:szCs w:val="28"/>
        </w:rPr>
        <w:t>- Chấp hành việc kiểm tra của cơ quan có thẩm quyền; phối hợp cung cấp hồ sơ, tài liệu phục vụ công tác kiểm tra, xác minh; kịp thời thông tin cho cơ quan chức năng khi phát hiện thuốc giả, thuốc không rõ nguồn gốc, xuất xứ hoặc các dấu hiệu vi phạm pháp luật trong hoạt động kinh doanh dược.</w:t>
      </w:r>
    </w:p>
    <w:p>
      <w:pPr>
        <w:pStyle w:val="NormalWeb"/>
        <w:spacing w:before="0" w:beforeAutospacing="0" w:after="0" w:afterAutospacing="0"/>
        <w:ind w:firstLine="720"/>
        <w:jc w:val="both"/>
        <w:rPr>
          <w:sz w:val="28"/>
          <w:szCs w:val="28"/>
        </w:rPr>
      </w:pPr>
      <w:r>
        <w:rPr>
          <w:rStyle w:val="Strong"/>
          <w:rFonts w:eastAsiaTheme="majorEastAsia"/>
          <w:sz w:val="28"/>
          <w:szCs w:val="28"/>
        </w:rPr>
        <w:t>5. Tổ chức thực hiện</w:t>
      </w:r>
    </w:p>
    <w:p>
      <w:pPr>
        <w:pStyle w:val="NormalWeb"/>
        <w:spacing w:before="0" w:beforeAutospacing="0" w:after="0" w:afterAutospacing="0"/>
        <w:ind w:firstLine="720"/>
        <w:jc w:val="both"/>
        <w:rPr>
          <w:sz w:val="28"/>
          <w:szCs w:val="28"/>
        </w:rPr>
      </w:pPr>
      <w:r>
        <w:rPr>
          <w:sz w:val="28"/>
          <w:szCs w:val="28"/>
        </w:rPr>
        <w:t>- Các cơ quan, đơn vị và các cơ sở kinh doanh dược căn cứ chức năng, nhiệm vụ và trách nhiệm được giao, nghiêm túc triển khai thực hiện Công văn này; kịp thời phản ánh những khó khăn, vướng mắc về UBND xã qua Phòng Văn hóa - Xã hội để tổng hợp, tham mưu xem xét, giải quyết.</w:t>
      </w:r>
    </w:p>
    <w:p>
      <w:pPr>
        <w:pStyle w:val="NormalWeb"/>
        <w:spacing w:before="0" w:beforeAutospacing="0" w:after="0" w:afterAutospacing="0"/>
        <w:ind w:firstLine="720"/>
        <w:jc w:val="both"/>
        <w:rPr>
          <w:sz w:val="28"/>
          <w:szCs w:val="28"/>
        </w:rPr>
      </w:pPr>
      <w:r>
        <w:rPr>
          <w:sz w:val="28"/>
          <w:szCs w:val="28"/>
        </w:rPr>
        <w:t>- Khi phát hiện dấu hiệu vi phạm pháp luật trong lĩnh vực dược, phải kịp thời thông tin cho Công an xã hoặc cơ quan chức năng có thẩm quyền để kiểm tra, xác minh và xử lý theo quy định.</w:t>
      </w:r>
    </w:p>
    <w:p>
      <w:pPr>
        <w:pStyle w:val="NormalWeb"/>
        <w:spacing w:before="0" w:beforeAutospacing="0" w:after="0" w:afterAutospacing="0"/>
        <w:ind w:firstLine="720"/>
        <w:jc w:val="both"/>
        <w:rPr>
          <w:sz w:val="28"/>
          <w:szCs w:val="28"/>
        </w:rPr>
      </w:pPr>
      <w:r>
        <w:rPr>
          <w:sz w:val="28"/>
          <w:szCs w:val="28"/>
        </w:rPr>
        <w:t>- Giao Phòng Văn hóa - Xã hội chủ trì, phối hợp với Trạm Y tế xã và Công an xã theo dõi, đôn đốc, tổng hợp kết quả thực hiện; tham mưu UBND xã báo cáo cơ quan có thẩm quyền theo yêu cầu./.</w:t>
      </w:r>
    </w:p>
    <w:tbl>
      <w:tblPr>
        <w:tblW w:w="0" w:type="auto"/>
        <w:tblLook w:val="04A0" w:firstRow="1" w:lastRow="0" w:firstColumn="1" w:lastColumn="0" w:noHBand="0" w:noVBand="1"/>
      </w:tblPr>
      <w:tblGrid>
        <w:gridCol w:w="4525"/>
        <w:gridCol w:w="4547"/>
      </w:tblGrid>
      <w:tr>
        <w:tc>
          <w:tcPr>
            <w:tcW w:w="4636" w:type="dxa"/>
          </w:tcPr>
          <w:p>
            <w:pPr>
              <w:spacing w:after="0" w:line="240" w:lineRule="auto"/>
              <w:rPr>
                <w:rFonts w:eastAsia="Calibri"/>
                <w:b/>
                <w:sz w:val="24"/>
                <w:szCs w:val="24"/>
                <w:lang w:val="sq-AL"/>
              </w:rPr>
            </w:pPr>
            <w:r>
              <w:rPr>
                <w:rFonts w:eastAsia="Calibri"/>
                <w:b/>
                <w:i/>
                <w:sz w:val="24"/>
                <w:szCs w:val="24"/>
                <w:lang w:val="sq-AL"/>
              </w:rPr>
              <w:t xml:space="preserve">   Nơi nhận:</w:t>
            </w:r>
            <w:r>
              <w:rPr>
                <w:rFonts w:eastAsia="Calibri"/>
                <w:sz w:val="24"/>
                <w:szCs w:val="24"/>
                <w:lang w:val="sq-AL"/>
              </w:rPr>
              <w:tab/>
            </w:r>
            <w:r>
              <w:rPr>
                <w:rFonts w:eastAsia="Calibri"/>
                <w:sz w:val="24"/>
                <w:szCs w:val="24"/>
                <w:lang w:val="sq-AL"/>
              </w:rPr>
              <w:tab/>
            </w:r>
            <w:r>
              <w:rPr>
                <w:rFonts w:eastAsia="Calibri"/>
                <w:sz w:val="24"/>
                <w:szCs w:val="24"/>
                <w:lang w:val="sq-AL"/>
              </w:rPr>
              <w:tab/>
            </w:r>
            <w:r>
              <w:rPr>
                <w:rFonts w:eastAsia="Calibri"/>
                <w:sz w:val="24"/>
                <w:szCs w:val="24"/>
                <w:lang w:val="sq-AL"/>
              </w:rPr>
              <w:tab/>
              <w:t xml:space="preserve"> </w:t>
            </w:r>
            <w:r>
              <w:rPr>
                <w:rFonts w:eastAsia="Calibri"/>
                <w:b/>
                <w:sz w:val="24"/>
                <w:szCs w:val="24"/>
                <w:lang w:val="sq-AL"/>
              </w:rPr>
              <w:t xml:space="preserve">      </w:t>
            </w:r>
          </w:p>
          <w:p>
            <w:pPr>
              <w:spacing w:after="0" w:line="240" w:lineRule="auto"/>
              <w:rPr>
                <w:rFonts w:eastAsia="Calibri"/>
                <w:sz w:val="22"/>
                <w:szCs w:val="22"/>
                <w:lang w:val="sq-AL"/>
              </w:rPr>
            </w:pPr>
            <w:r>
              <w:rPr>
                <w:rFonts w:eastAsia="Calibri"/>
                <w:sz w:val="22"/>
                <w:szCs w:val="22"/>
                <w:lang w:val="sq-AL"/>
              </w:rPr>
              <w:t xml:space="preserve">   - Như trên;</w:t>
            </w:r>
          </w:p>
          <w:p>
            <w:pPr>
              <w:spacing w:after="0" w:line="240" w:lineRule="auto"/>
              <w:rPr>
                <w:rFonts w:eastAsia="Calibri"/>
                <w:sz w:val="22"/>
                <w:szCs w:val="22"/>
                <w:lang w:val="sq-AL"/>
              </w:rPr>
            </w:pPr>
            <w:r>
              <w:rPr>
                <w:rFonts w:eastAsia="Calibri"/>
                <w:sz w:val="22"/>
                <w:szCs w:val="22"/>
                <w:lang w:val="sq-AL"/>
              </w:rPr>
              <w:t xml:space="preserve">   - Chủ tịch, các PCT UBND xã;</w:t>
            </w:r>
          </w:p>
          <w:p>
            <w:pPr>
              <w:spacing w:after="0" w:line="240" w:lineRule="auto"/>
              <w:rPr>
                <w:rFonts w:eastAsia="Calibri"/>
                <w:sz w:val="22"/>
                <w:szCs w:val="22"/>
                <w:lang w:val="sq-AL"/>
              </w:rPr>
            </w:pPr>
            <w:r>
              <w:rPr>
                <w:rFonts w:eastAsia="Calibri"/>
                <w:sz w:val="22"/>
                <w:szCs w:val="22"/>
                <w:lang w:val="sq-AL"/>
              </w:rPr>
              <w:t xml:space="preserve">   - Lưu: VT, VHXH.</w:t>
            </w:r>
          </w:p>
        </w:tc>
        <w:tc>
          <w:tcPr>
            <w:tcW w:w="4652" w:type="dxa"/>
          </w:tcPr>
          <w:p>
            <w:pPr>
              <w:spacing w:after="0" w:line="240" w:lineRule="auto"/>
              <w:jc w:val="center"/>
              <w:rPr>
                <w:rFonts w:eastAsia="Calibri"/>
                <w:b/>
                <w:sz w:val="27"/>
                <w:szCs w:val="27"/>
                <w:lang w:val="sq-AL"/>
              </w:rPr>
            </w:pPr>
            <w:r>
              <w:rPr>
                <w:rFonts w:eastAsia="Calibri"/>
                <w:b/>
                <w:sz w:val="27"/>
                <w:szCs w:val="27"/>
                <w:lang w:val="sq-AL"/>
              </w:rPr>
              <w:t>TM. ỦY BAN NHÂN DÂN</w:t>
            </w:r>
          </w:p>
          <w:p>
            <w:pPr>
              <w:spacing w:after="0" w:line="240" w:lineRule="auto"/>
              <w:jc w:val="center"/>
              <w:rPr>
                <w:rFonts w:eastAsia="Calibri"/>
                <w:b/>
                <w:sz w:val="27"/>
                <w:szCs w:val="27"/>
                <w:lang w:val="sq-AL"/>
              </w:rPr>
            </w:pPr>
            <w:bookmarkStart w:id="0" w:name="_GoBack"/>
            <w:bookmarkEnd w:id="0"/>
            <w:r>
              <w:rPr>
                <w:rFonts w:eastAsia="Calibri"/>
                <w:b/>
                <w:sz w:val="27"/>
                <w:szCs w:val="27"/>
                <w:lang w:val="sq-AL"/>
              </w:rPr>
              <w:t>KT. CHỦ TỊCH</w:t>
            </w:r>
          </w:p>
          <w:p>
            <w:pPr>
              <w:spacing w:after="0" w:line="240" w:lineRule="auto"/>
              <w:jc w:val="center"/>
              <w:rPr>
                <w:rFonts w:eastAsia="Calibri"/>
                <w:b/>
                <w:sz w:val="27"/>
                <w:szCs w:val="27"/>
                <w:lang w:val="sq-AL"/>
              </w:rPr>
            </w:pPr>
            <w:r>
              <w:rPr>
                <w:rFonts w:eastAsia="Calibri"/>
                <w:b/>
                <w:sz w:val="27"/>
                <w:szCs w:val="27"/>
                <w:lang w:val="sq-AL"/>
              </w:rPr>
              <w:t>PHÓ CHỦ TỊCH</w:t>
            </w:r>
          </w:p>
          <w:p>
            <w:pPr>
              <w:spacing w:after="0" w:line="276" w:lineRule="auto"/>
              <w:jc w:val="center"/>
              <w:rPr>
                <w:rFonts w:eastAsia="Calibri"/>
                <w:b/>
                <w:szCs w:val="22"/>
              </w:rPr>
            </w:pPr>
          </w:p>
          <w:p>
            <w:pPr>
              <w:spacing w:after="0" w:line="276" w:lineRule="auto"/>
              <w:jc w:val="center"/>
              <w:rPr>
                <w:rFonts w:eastAsia="Calibri"/>
                <w:b/>
                <w:szCs w:val="22"/>
              </w:rPr>
            </w:pPr>
          </w:p>
          <w:p>
            <w:pPr>
              <w:spacing w:after="0" w:line="276" w:lineRule="auto"/>
              <w:jc w:val="center"/>
              <w:rPr>
                <w:rFonts w:eastAsia="Calibri"/>
                <w:b/>
                <w:szCs w:val="22"/>
              </w:rPr>
            </w:pPr>
          </w:p>
          <w:p>
            <w:pPr>
              <w:spacing w:after="0" w:line="276" w:lineRule="auto"/>
              <w:jc w:val="center"/>
              <w:rPr>
                <w:rFonts w:eastAsia="Calibri"/>
                <w:b/>
                <w:szCs w:val="22"/>
              </w:rPr>
            </w:pPr>
          </w:p>
          <w:p>
            <w:pPr>
              <w:spacing w:after="0" w:line="276" w:lineRule="auto"/>
              <w:jc w:val="center"/>
              <w:rPr>
                <w:rFonts w:eastAsia="Calibri"/>
                <w:b/>
                <w:szCs w:val="22"/>
                <w:lang w:val="vi-VN"/>
              </w:rPr>
            </w:pPr>
            <w:r>
              <w:rPr>
                <w:rFonts w:eastAsia="Calibri"/>
                <w:b/>
                <w:szCs w:val="22"/>
              </w:rPr>
              <w:t>Nguyễn</w:t>
            </w:r>
            <w:r>
              <w:rPr>
                <w:rFonts w:eastAsia="Calibri"/>
                <w:b/>
                <w:szCs w:val="22"/>
                <w:lang w:val="vi-VN"/>
              </w:rPr>
              <w:t xml:space="preserve"> Tiến Thích</w:t>
            </w:r>
          </w:p>
          <w:p>
            <w:pPr>
              <w:spacing w:after="0" w:line="276" w:lineRule="auto"/>
              <w:jc w:val="both"/>
              <w:rPr>
                <w:rFonts w:eastAsia="Calibri"/>
                <w:b/>
                <w:szCs w:val="22"/>
              </w:rPr>
            </w:pPr>
          </w:p>
        </w:tc>
      </w:tr>
    </w:tbl>
    <w:p/>
    <w:sectPr>
      <w:pgSz w:w="11907" w:h="16840" w:code="9"/>
      <w:pgMar w:top="1134" w:right="1134"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90DE9"/>
    <w:multiLevelType w:val="multilevel"/>
    <w:tmpl w:val="BF10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05DB1"/>
    <w:multiLevelType w:val="multilevel"/>
    <w:tmpl w:val="2AD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13856"/>
    <w:multiLevelType w:val="multilevel"/>
    <w:tmpl w:val="0CA2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FD3755"/>
    <w:multiLevelType w:val="multilevel"/>
    <w:tmpl w:val="0C88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F26695"/>
    <w:multiLevelType w:val="hybridMultilevel"/>
    <w:tmpl w:val="96769144"/>
    <w:lvl w:ilvl="0" w:tplc="54607302">
      <w:start w:val="1"/>
      <w:numFmt w:val="decimal"/>
      <w:lvlText w:val="%1."/>
      <w:lvlJc w:val="left"/>
      <w:pPr>
        <w:ind w:left="1080" w:hanging="360"/>
      </w:pPr>
      <w:rPr>
        <w:rFonts w:eastAsiaTheme="majorEastAsia"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5D240563"/>
    <w:multiLevelType w:val="multilevel"/>
    <w:tmpl w:val="909E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6988F9-5EF6-4C7F-A451-313C1A5D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rmalWeb">
    <w:name w:val="Normal (Web)"/>
    <w:basedOn w:val="Normal"/>
    <w:uiPriority w:val="99"/>
    <w:unhideWhenUsed/>
    <w:qFormat/>
    <w:pPr>
      <w:spacing w:before="100" w:beforeAutospacing="1" w:after="100" w:afterAutospacing="1" w:line="240" w:lineRule="auto"/>
    </w:pPr>
    <w:rPr>
      <w:rFonts w:eastAsia="Times New Roman"/>
      <w:color w:val="auto"/>
      <w:sz w:val="24"/>
      <w:szCs w:val="24"/>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1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dc:creator>
  <cp:keywords/>
  <dc:description/>
  <cp:lastModifiedBy>ADMIN</cp:lastModifiedBy>
  <cp:revision>48</cp:revision>
  <dcterms:created xsi:type="dcterms:W3CDTF">2026-10-27T03:48:00Z</dcterms:created>
  <dcterms:modified xsi:type="dcterms:W3CDTF">2026-10-29T11:17:00Z</dcterms:modified>
</cp:coreProperties>
</file>