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3" w:type="pct"/>
        <w:jc w:val="center"/>
        <w:tblLook w:val="04A0" w:firstRow="1" w:lastRow="0" w:firstColumn="1" w:lastColumn="0" w:noHBand="0" w:noVBand="1"/>
      </w:tblPr>
      <w:tblGrid>
        <w:gridCol w:w="3261"/>
        <w:gridCol w:w="6236"/>
      </w:tblGrid>
      <w:tr>
        <w:trPr>
          <w:jc w:val="center"/>
        </w:trPr>
        <w:tc>
          <w:tcPr>
            <w:tcW w:w="1717" w:type="pct"/>
          </w:tcPr>
          <w:p>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ỦY BAN NHÂN DÂN</w:t>
            </w:r>
          </w:p>
          <w:p>
            <w:pPr>
              <w:spacing w:after="120" w:line="240" w:lineRule="auto"/>
              <w:jc w:val="center"/>
              <w:rPr>
                <w:rFonts w:ascii="Times New Roman" w:hAnsi="Times New Roman" w:cs="Times New Roman"/>
                <w:b/>
                <w:bCs/>
                <w:sz w:val="28"/>
                <w:szCs w:val="28"/>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212263</wp:posOffset>
                      </wp:positionV>
                      <wp:extent cx="741054" cy="0"/>
                      <wp:effectExtent l="0" t="0" r="20955" b="19050"/>
                      <wp:wrapNone/>
                      <wp:docPr id="4" name="Straight Connector 4"/>
                      <wp:cNvGraphicFramePr/>
                      <a:graphic xmlns:a="http://schemas.openxmlformats.org/drawingml/2006/main">
                        <a:graphicData uri="http://schemas.microsoft.com/office/word/2010/wordprocessingShape">
                          <wps:wsp>
                            <wps:cNvCnPr/>
                            <wps:spPr>
                              <a:xfrm>
                                <a:off x="0" y="0"/>
                                <a:ext cx="74105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7pt,16.7pt" to="108.0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rfB3AEAAKgDAAAOAAAAZHJzL2Uyb0RvYy54bWysU8tu2zAQvBfoPxC815INu20EyznYSC99&#10;GEj6ARs+JAJ8gcta9t93STlu2t6K6kAtd7nDndFoe392lp1UQhN8z5eLljPlRZDGDz3//vTw7iNn&#10;mMFLsMGrnl8U8vvd2zfbKXZqFcZgpUqMQDx2U+z5mHPsmgbFqBzgIkTlqahDcpBpm4ZGJpgI3dlm&#10;1bbvmykkGVMQCpGyh7nIdxVfayXyN61RZWZ7TrPluqa6Ppe12W2hGxLE0YjrGPAPUzgwni69QR0g&#10;A/uRzF9QzogUMOi8EME1QWsjVOVAbJbtH2weR4iqciFxMN5kwv8HK76ejokZ2fM1Zx4cfaLHnMAM&#10;Y2b74D0JGBJbF52miB0d3/tjuu4wHlMhfdbJlTfRYeeq7eWmrTpnJij5Yb1sN3SHeCk1v/piwvxJ&#10;BcdK0HNrfGENHZw+Y6a76OjLkZL24cFYW7+c9Wzq+d1mtSFkIP9oC5lCF4kR+oEzsAMZU+RUETFY&#10;I0t3wcEL7m1iJyBvkKVkmJ5oWs4sYKYCUajP3DiCVPPRuw2lZ+Mg5C9Bzmmid83TuDN0nfy3KwuN&#10;A+A4t9RSQaIO68tIqlr2yroIPktcoucgL1X5puzIDrXtat3it9d7il//YLufAAAA//8DAFBLAwQU&#10;AAYACAAAACEAhGQhfd0AAAAIAQAADwAAAGRycy9kb3ducmV2LnhtbEyPzU7DQAyE70i8w8pIXKp2&#10;84OqNmRTISA3LhQQVzcxSUTWm2a3beDpMeoBTpY9o/E3+WayvTrS6DvHBuJFBIq4cnXHjYHXl3K+&#10;AuUDco29YzLwRR42xeVFjlntTvxMx21olISwz9BAG8KQae2rliz6hRuIRftwo8Ug69joesSThNte&#10;J1G01BY7lg8tDnTfUvW5PVgDvnyjffk9q2bRe9o4SvYPT49ozPXVdHcLKtAU/szwiy/oUAjTzh24&#10;9qo3sF7fiNNAmsoUPYmXMajd+aCLXP8vUPwAAAD//wMAUEsBAi0AFAAGAAgAAAAhALaDOJL+AAAA&#10;4QEAABMAAAAAAAAAAAAAAAAAAAAAAFtDb250ZW50X1R5cGVzXS54bWxQSwECLQAUAAYACAAAACEA&#10;OP0h/9YAAACUAQAACwAAAAAAAAAAAAAAAAAvAQAAX3JlbHMvLnJlbHNQSwECLQAUAAYACAAAACEA&#10;W9K3wdwBAACoAwAADgAAAAAAAAAAAAAAAAAuAgAAZHJzL2Uyb0RvYy54bWxQSwECLQAUAAYACAAA&#10;ACEAhGQhfd0AAAAIAQAADwAAAAAAAAAAAAAAAAA2BAAAZHJzL2Rvd25yZXYueG1sUEsFBgAAAAAE&#10;AAQA8wAAAEAFAAAAAA==&#10;"/>
                  </w:pict>
                </mc:Fallback>
              </mc:AlternateContent>
            </w:r>
            <w:r>
              <w:rPr>
                <w:rFonts w:ascii="Times New Roman" w:hAnsi="Times New Roman" w:cs="Times New Roman"/>
                <w:b/>
                <w:bCs/>
                <w:sz w:val="26"/>
                <w:szCs w:val="26"/>
              </w:rPr>
              <w:t>XÃ HƯƠNG SƠN</w:t>
            </w:r>
          </w:p>
        </w:tc>
        <w:tc>
          <w:tcPr>
            <w:tcW w:w="3283" w:type="pct"/>
          </w:tcPr>
          <w:p>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CỘNG HOÀ XÃ HỘI CHỦ NGHĨA VIỆT NAM</w:t>
            </w:r>
          </w:p>
          <w:p>
            <w:pPr>
              <w:spacing w:after="12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871220</wp:posOffset>
                      </wp:positionH>
                      <wp:positionV relativeFrom="paragraph">
                        <wp:posOffset>220287</wp:posOffset>
                      </wp:positionV>
                      <wp:extent cx="2097486" cy="0"/>
                      <wp:effectExtent l="0" t="0" r="36195" b="19050"/>
                      <wp:wrapNone/>
                      <wp:docPr id="7" name="Straight Connector 7"/>
                      <wp:cNvGraphicFramePr/>
                      <a:graphic xmlns:a="http://schemas.openxmlformats.org/drawingml/2006/main">
                        <a:graphicData uri="http://schemas.microsoft.com/office/word/2010/wordprocessingShape">
                          <wps:wsp>
                            <wps:cNvCnPr/>
                            <wps:spPr>
                              <a:xfrm flipV="1">
                                <a:off x="0" y="0"/>
                                <a:ext cx="2097486"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6pt,17.35pt" to="233.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ja75gEAALMDAAAOAAAAZHJzL2Uyb0RvYy54bWysU8tu2zAQvBfoPxC815KNOo4FyznYSC99&#10;GEia+4YiJQJ8gcta9t93SdlG2t6K6EBwd7nDneFo83Cyhh1lRO1dy+ezmjPphO+061v+8/nx0z1n&#10;mMB1YLyTLT9L5A/bjx82Y2jkwg/edDIyAnHYjKHlQ0qhqSoUg7SAMx+ko6Ly0UKiMPZVF2EkdGuq&#10;RV3fVaOPXYheSETK7qci3xZ8paRIP5RCmZhpOc2WyhrL+prXaruBpo8QBi0uY8B/TGFBO7r0BrWH&#10;BOxX1P9AWS2iR6/STHhbeaW0kIUDsZnXf7F5GiDIwoXEwXCTCd8PVnw/HiLTXctXnDmw9ERPKYLu&#10;h8R23jkS0Ee2yjqNARs6vnOHeIkwHGImfVLRMmV0eCELFBmIGDsVlc83leUpMUHJRb1efb6/40xc&#10;a9UEkaFCxPRFesvypuVGuywANHD8iomupaPXIznt/KM2pjyicWxs+Xq5WBIykJWUgURbG4gcup4z&#10;MD15VKRYENEb3eXujINn3JnIjkA2IXd1fnymcTkzgIkKxKF8U+MAnZyOrpeUnjyEkL75bkrP62ue&#10;xp2gy+R/XJlp7AGHqaWUMhJ1GJdHksW9F9ZZ+0ntvHv13bk8QpUjckZpu7g4W+9tTPu3/9r2NwAA&#10;AP//AwBQSwMEFAAGAAgAAAAhADTH1PTcAAAACQEAAA8AAABkcnMvZG93bnJldi54bWxMj8FOhDAQ&#10;hu8mvkMzJt7cIqyLImWzMerFxMQVPRc6ArGdEtpl8e0d40GP/8yXf74pt4uzYsYpDJ4UXK4SEEit&#10;NwN1CurXh4trECFqMtp6QgVfGGBbnZ6UujD+SC8472MnuIRCoRX0MY6FlKHt0emw8iMS7z785HTk&#10;OHXSTPrI5c7KNEk20umB+EKvR7zrsf3cH5yC3fvTffY8N85bc9PVb8bVyWOq1PnZsrsFEXGJfzD8&#10;6LM6VOzU+AOZICznLE8ZVZCtcxAMrDf5FYjmdyCrUv7/oPoGAAD//wMAUEsBAi0AFAAGAAgAAAAh&#10;ALaDOJL+AAAA4QEAABMAAAAAAAAAAAAAAAAAAAAAAFtDb250ZW50X1R5cGVzXS54bWxQSwECLQAU&#10;AAYACAAAACEAOP0h/9YAAACUAQAACwAAAAAAAAAAAAAAAAAvAQAAX3JlbHMvLnJlbHNQSwECLQAU&#10;AAYACAAAACEA0h42u+YBAACzAwAADgAAAAAAAAAAAAAAAAAuAgAAZHJzL2Uyb0RvYy54bWxQSwEC&#10;LQAUAAYACAAAACEANMfU9NwAAAAJAQAADwAAAAAAAAAAAAAAAABABAAAZHJzL2Rvd25yZXYueG1s&#10;UEsFBgAAAAAEAAQA8wAAAEk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0" allowOverlap="1">
                      <wp:simplePos x="0" y="0"/>
                      <wp:positionH relativeFrom="column">
                        <wp:posOffset>230505</wp:posOffset>
                      </wp:positionH>
                      <wp:positionV relativeFrom="paragraph">
                        <wp:posOffset>220345</wp:posOffset>
                      </wp:positionV>
                      <wp:extent cx="0" cy="0"/>
                      <wp:effectExtent l="5715" t="12700" r="1333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533F98"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Btd11E2QAAAAcBAAAPAAAAZHJzL2Rvd25yZXYueG1sTI7BTsMwEETvSPyDtUhcKurQVAWFOBUC&#10;cuPSAuK6jbdJ1Hidxm4b+HoWOMBp9TSj2ZcvR9epIw2h9WzgepqAIq68bbk28PpSXt2CChHZYueZ&#10;DHxQgGVxfpZjZv2JV3Rcx1rJCIcMDTQx9pnWoWrIYZj6nliyrR8cRsGh1nbAk4y7Ts+SZKEdtiwf&#10;GuzpoaFqtz44A6F8o335OakmyXtae5rtH5+f0JjLi/H+DlSkMf6V4Vtf1KEQp40/sA2qM5AuUmnK&#10;nd+AkvyHN7+si1z/9y++AAAA//8DAFBLAQItABQABgAIAAAAIQC2gziS/gAAAOEBAAATAAAAAAAA&#10;AAAAAAAAAAAAAABbQ29udGVudF9UeXBlc10ueG1sUEsBAi0AFAAGAAgAAAAhADj9If/WAAAAlAEA&#10;AAsAAAAAAAAAAAAAAAAALwEAAF9yZWxzLy5yZWxzUEsBAi0AFAAGAAgAAAAhAGl/VhScAQAAKgMA&#10;AA4AAAAAAAAAAAAAAAAALgIAAGRycy9lMm9Eb2MueG1sUEsBAi0AFAAGAAgAAAAhAG13XUTZAAAA&#10;BwEAAA8AAAAAAAAAAAAAAAAA9gMAAGRycy9kb3ducmV2LnhtbFBLBQYAAAAABAAEAPMAAAD8BAAA&#10;AAA=&#10;" o:allowincell="f"/>
                  </w:pict>
                </mc:Fallback>
              </mc:AlternateContent>
            </w:r>
            <w:r>
              <w:rPr>
                <w:rFonts w:ascii="Times New Roman" w:hAnsi="Times New Roman" w:cs="Times New Roman"/>
                <w:b/>
                <w:bCs/>
                <w:sz w:val="28"/>
                <w:szCs w:val="28"/>
              </w:rPr>
              <w:t>Độc lập - Tự do - Hạnh phúc</w:t>
            </w:r>
          </w:p>
        </w:tc>
      </w:tr>
      <w:tr>
        <w:trPr>
          <w:jc w:val="center"/>
        </w:trPr>
        <w:tc>
          <w:tcPr>
            <w:tcW w:w="1717" w:type="pct"/>
          </w:tcPr>
          <w:p>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Số:           /UBND-VP</w:t>
            </w:r>
          </w:p>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V/v chuẩn bị hồ sơ </w:t>
            </w:r>
            <w:r>
              <w:rPr>
                <w:rFonts w:ascii="Times New Roman" w:eastAsia="Times New Roman" w:hAnsi="Times New Roman" w:cs="Times New Roman"/>
                <w:sz w:val="24"/>
                <w:szCs w:val="24"/>
              </w:rPr>
              <w:t>tự đánh giá, chấm điểm xã đạt chuẩn tiếp cận pháp luật năm 2026</w:t>
            </w:r>
          </w:p>
        </w:tc>
        <w:tc>
          <w:tcPr>
            <w:tcW w:w="3283" w:type="pct"/>
          </w:tcPr>
          <w:p>
            <w:pPr>
              <w:spacing w:after="0" w:line="240" w:lineRule="auto"/>
              <w:jc w:val="center"/>
              <w:rPr>
                <w:rFonts w:ascii="Times New Roman" w:hAnsi="Times New Roman" w:cs="Times New Roman"/>
                <w:b/>
                <w:bCs/>
                <w:sz w:val="28"/>
                <w:szCs w:val="28"/>
              </w:rPr>
            </w:pPr>
            <w:r>
              <w:rPr>
                <w:rFonts w:ascii="Times New Roman" w:hAnsi="Times New Roman" w:cs="Times New Roman"/>
                <w:i/>
                <w:iCs/>
                <w:sz w:val="28"/>
                <w:szCs w:val="28"/>
              </w:rPr>
              <w:t>Hương Sơn, ngày        tháng 10 năm 2026</w:t>
            </w:r>
          </w:p>
        </w:tc>
      </w:tr>
    </w:tbl>
    <w:p>
      <w:pPr>
        <w:spacing w:line="240" w:lineRule="auto"/>
        <w:ind w:left="1440" w:firstLine="720"/>
        <w:rPr>
          <w:rFonts w:ascii="Times New Roman" w:eastAsia="Times New Roman" w:hAnsi="Times New Roman" w:cs="Times New Roman"/>
          <w:sz w:val="28"/>
          <w:szCs w:val="28"/>
        </w:rPr>
      </w:pPr>
    </w:p>
    <w:p>
      <w:pPr>
        <w:spacing w:line="240" w:lineRule="auto"/>
        <w:ind w:left="1440"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Kính gửi: </w:t>
      </w:r>
    </w:p>
    <w:p>
      <w:pPr>
        <w:pStyle w:val="ListParagraph"/>
        <w:spacing w:line="240" w:lineRule="auto"/>
        <w:ind w:left="3240"/>
        <w:rPr>
          <w:rFonts w:ascii="Times New Roman" w:eastAsia="Times New Roman" w:hAnsi="Times New Roman" w:cs="Times New Roman"/>
          <w:sz w:val="28"/>
          <w:szCs w:val="28"/>
        </w:rPr>
      </w:pPr>
      <w:r>
        <w:rPr>
          <w:rFonts w:ascii="Times New Roman" w:eastAsia="Times New Roman" w:hAnsi="Times New Roman" w:cs="Times New Roman"/>
          <w:sz w:val="28"/>
          <w:szCs w:val="28"/>
        </w:rPr>
        <w:t>- Các phòng, ban, ngành thuộc xã;</w:t>
      </w:r>
    </w:p>
    <w:p>
      <w:pPr>
        <w:pStyle w:val="ListParagraph"/>
        <w:spacing w:line="240" w:lineRule="auto"/>
        <w:ind w:left="3240"/>
        <w:rPr>
          <w:rFonts w:ascii="Times New Roman" w:eastAsia="Times New Roman" w:hAnsi="Times New Roman" w:cs="Times New Roman"/>
          <w:sz w:val="28"/>
          <w:szCs w:val="28"/>
        </w:rPr>
      </w:pPr>
      <w:r>
        <w:rPr>
          <w:rFonts w:ascii="Times New Roman" w:eastAsia="Times New Roman" w:hAnsi="Times New Roman" w:cs="Times New Roman"/>
          <w:sz w:val="28"/>
          <w:szCs w:val="28"/>
        </w:rPr>
        <w:t>- Trung tâm dịch vụ tổng hợp xã;</w:t>
      </w:r>
    </w:p>
    <w:p>
      <w:pPr>
        <w:pStyle w:val="ListParagraph"/>
        <w:spacing w:line="240" w:lineRule="auto"/>
        <w:ind w:left="3240"/>
        <w:rPr>
          <w:rFonts w:ascii="Times New Roman" w:eastAsia="Times New Roman" w:hAnsi="Times New Roman" w:cs="Times New Roman"/>
          <w:sz w:val="28"/>
          <w:szCs w:val="28"/>
        </w:rPr>
      </w:pPr>
      <w:r>
        <w:rPr>
          <w:rFonts w:ascii="Times New Roman" w:eastAsia="Times New Roman" w:hAnsi="Times New Roman" w:cs="Times New Roman"/>
          <w:sz w:val="28"/>
          <w:szCs w:val="28"/>
        </w:rPr>
        <w:t>- Ủy ban MTTQVN và các tổ chức CTXH xã;</w:t>
      </w:r>
    </w:p>
    <w:p>
      <w:pPr>
        <w:pStyle w:val="ListParagraph"/>
        <w:spacing w:line="240" w:lineRule="auto"/>
        <w:ind w:left="3240"/>
        <w:rPr>
          <w:rFonts w:ascii="Times New Roman" w:eastAsia="Times New Roman" w:hAnsi="Times New Roman" w:cs="Times New Roman"/>
          <w:sz w:val="28"/>
          <w:szCs w:val="28"/>
        </w:rPr>
      </w:pPr>
      <w:r>
        <w:rPr>
          <w:rFonts w:ascii="Times New Roman" w:eastAsia="Times New Roman" w:hAnsi="Times New Roman" w:cs="Times New Roman"/>
          <w:sz w:val="28"/>
          <w:szCs w:val="28"/>
        </w:rPr>
        <w:t>- Trưởng các thôn.</w:t>
      </w:r>
    </w:p>
    <w:p>
      <w:pPr>
        <w:spacing w:after="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ab/>
      </w:r>
      <w:r>
        <w:rPr>
          <w:rFonts w:ascii="Times New Roman" w:eastAsia="Times New Roman" w:hAnsi="Times New Roman" w:cs="Times New Roman"/>
          <w:sz w:val="28"/>
          <w:szCs w:val="28"/>
        </w:rPr>
        <w:t>Thực hiện Quyết định số 27/2025/QĐ-TTg ngày 04/8/2025 của Thủ tướng Chính phủ quy định về xã, phường, thị trấn đạt chuẩn tiếp cận pháp luật; Thông tư số 15/2025/TT-BTP của Bộ Tư pháp hướng dẫn thi hành Quyết định số 27/2025/QĐ-TTg; Văn bản số số 2652</w:t>
      </w:r>
      <w:r>
        <w:rPr>
          <w:rFonts w:ascii="Times New Roman" w:hAnsi="Times New Roman" w:cs="Times New Roman"/>
          <w:sz w:val="28"/>
          <w:szCs w:val="28"/>
        </w:rPr>
        <w:t>/STP-PC&amp;PBGDPL ngày 01/10/2026 của Sở Tư pháp tỉnh Hà Tĩnh về việc hướng dẫn thực hiện, đánh giá chỉ tiêu 10.1 “Xã đạt chuẩn tiếp cận pháp luật” thuộc Bộ tiêu chí xã nông thôn mới, xã nông thôn mới hiện đại giai đoạn 2026-2030;</w:t>
      </w:r>
    </w:p>
    <w:p>
      <w:pPr>
        <w:spacing w:after="4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Để hoàn thiện hồ sơ đề nghị công nhận xã đạt chuẩn tiếp cậ</w:t>
      </w:r>
      <w:bookmarkStart w:id="0" w:name="_GoBack"/>
      <w:bookmarkEnd w:id="0"/>
      <w:r>
        <w:rPr>
          <w:rFonts w:ascii="Times New Roman" w:eastAsia="Times New Roman" w:hAnsi="Times New Roman" w:cs="Times New Roman"/>
          <w:sz w:val="28"/>
          <w:szCs w:val="28"/>
        </w:rPr>
        <w:t>n pháp luật năm 2026 gửi Sở Tư pháp đúng thời hạn quy định, Ủy ban nhân dân xã đề nghị các phòng, ban chuyên môn, các cơ quan, đơn vị liên quan và các thôn thực hiện các nội dung sau:</w:t>
      </w:r>
    </w:p>
    <w:p>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1. Văn phòng HĐND - UBND xã</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Chủ trì, phối hợp với Phòng Văn hóa - Xã hội và các đơn vị liên quan tổng hợp công tác tuyên truyền việc thực hiện các quy định về xã đạt chuẩn tiếp cận pháp luật đến đội ngũ cán bộ, công chức và Nhân dân trên địa bàn.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Chủ trì, tổng hợp kết quả thực hiện các tiêu chí xã đạt chuẩn tiếp cận pháp luật theo quy định, gồm 3 tiêu chí:</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Tiêu chí 1: Ban hành văn bản quy phạm pháp luật;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Tiêu chí 2: Tiếp cận thông tin, phổ biến giáo dục pháp luật;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Tiêu chí 3: Hòa giải ở cơ sở.</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Đôn đốc, theo dõi, hướng dẫn các phòng, ban, ngành, đơn vị triển khai thực hiện các chỉ tiêu, tiêu chí theo quy định; kịp thời tổng hợp, báo cáo UBND xã những khó khăn, vướng mắc phát sinh trong quá trình thực hiện.</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Tham mưu UBND xã thực hiện các trình tự, thủ tục đánh giá, công nhận, công khai xã đạt chuẩn tiếp cận pháp luật theo quy định tại Điều 6 Quyết định số 27/2025/QĐ-TTg ngày 04/8/2025.</w:t>
      </w:r>
    </w:p>
    <w:p>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2. Phòng Văn hóa - Xã hội</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Phối hợp với Văn phòng HĐND - UBND xã, Trung tâm dịch vụ tổng hợp tổng hợp hồ sơ, tài liệu thực hiện Tiêu chí 2 (Tiếp cận thông tin, phổ biến, giáo dục pháp luật), tập trung vào các nhiệm vụ trọng tâm sau:</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Kết quả triển khai các nội dung về chuyển đổi số, ứng dụng công nghệ thông tin nhằm hỗ trợ người dân tiếp cận pháp luật, cụ thể:</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Tổ chức thông tin, tuyên truyền, phổ biến pháp luật thông qua hệ thống truyền thanh cơ sở, Trang thông tin điện tử của xã và các nền tảng mạng xã hội (Zalo, Facebook, fanpage…).</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Xây dựng và đăng tải các sản phẩm truyền thông như tin, bài, infographic, video clip tuyên truyền pháp luật phù hợp với từng nhóm đối tượng.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Xây dựng chuyên mục về chính sách, pháp luật liên quan đến trợ giúp pháp lý trên Trang thông tin điện tử của xã; thường xuyên cập nhật đầy đủ, kịp thời, bảo đảm đáp ứng yêu cầu đạt chuẩn của Chỉ tiêu 7, Tiêu chí 2 về cung cấp thông tin và giới thiệu trợ giúp pháp lý theo quy định hiện hành.</w:t>
      </w:r>
    </w:p>
    <w:p>
      <w:pPr>
        <w:spacing w:after="40" w:line="240" w:lineRule="auto"/>
        <w:ind w:firstLine="720"/>
        <w:jc w:val="both"/>
      </w:pPr>
      <w:r>
        <w:rPr>
          <w:rFonts w:ascii="Times New Roman" w:hAnsi="Times New Roman" w:cs="Times New Roman"/>
          <w:sz w:val="28"/>
          <w:szCs w:val="28"/>
        </w:rPr>
        <w:t xml:space="preserve"> - Kết quả tổ chức các lớp tập huấn, bồi dưỡng kiến thức pháp luật và kỹ năng phổ biến, giáo dục pháp luật cho đội ngũ cán bộ làm công tác này, thông qua các nền tảng và công cụ số phù hợp với điều kiện thực tiễn của địa phương</w:t>
      </w:r>
      <w:r>
        <w:t>.</w:t>
      </w:r>
    </w:p>
    <w:p>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3. Trung tâm dịch vụ tổng hợp</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Phối hợp với Văn phòng HĐND - UBND và Phòng Văn hóa - Xã hội cung cấp hồ sơ triển khai thực hiện Tiêu chí 2 (Tiếp cận thông tin, phổ biến, giáo dục pháp luật), trong đó tập trung vào công tác truyền thông, cụ thể: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Công tác tổ chức thực hiện các hoạt động truyền thông, tuyên truyền, phổ biến pháp luật gắn với nhiệm vụ chính trị của địa phương trên các kênh thông tin của xã.</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Thực hiện đăng tải, phát sóng các nội dung tuyên truyền pháp luật theo nội dung được cung cấp, bảo đảm kịp thời, đầy đủ, đúng định hướng.</w:t>
      </w:r>
    </w:p>
    <w:p>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4. Phòng Kinh tế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Phối hợp với Văn phòng HĐND - UBND cung cấp hồ sơ thực hiện các nội dung:</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Chỉ tiêu 6 của tiêu chí 2 (Tiếp cận thông tin, phổ biến, giáo dục pháp luật): “Đảm bảo nguồn lục về con người và kinh phí, cơ sở vật chất, phương tiện để triển khai công tác phổ biến, giáo dục pháp luật theo quy định của pháp luật về phổ biến, giáo dục pháp luật”.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Chỉ tiêu 4 của tiêu chí 3 (Hòa giải cơ sở): “Đảm bảo nguồn lục về con người và kinh phí, cơ sở vật chất, phương tiện để triển khai công tác hòa giải cơ sở theo quy định của pháp luật về hòa giải cơ sở”.</w:t>
      </w:r>
    </w:p>
    <w:p>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5. Đề nghị Ủy ban MTTQ và các tổ chức chính trị - xã hội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Phối hợp với các phòng, ban, ngành cung cấp hồ sơ thể hiện công tác tuyên truyền, vận động đoàn viên, hội viên và Nhân dân chấp hành pháp luật; nâng cao nhận thức, trách nhiệm của cộng đồng trong việc thực hiện các tiêu chí tiếp cận pháp luật.</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Công tác phối hợp với Văn phòng HĐND - UBND trong thực hiện tiêu chí 3 (Hòa giải cơ sở). Đảm bảo các tổ hòa giải và hòa giải viên được thành lập, kiện toàn, hoạt động theo quy định của pháp luật về hòa giải cơ sở.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Hồ sơ tham gia giám sát việc thực hiện các tiêu chí xã đạt chuẩn tiếp cận pháp luật theo quy định; kịp thời phản ánh, kiến nghị với UBND xã những vấn đề phát sinh liên quan đến quyền, lợi ích hợp pháp của Nhân dân.</w:t>
      </w:r>
    </w:p>
    <w:p>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6. Các thôn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Tổ chức tuyên truyền, phổ biến kịp thời các chủ trương của Đảng, chính sách, pháp luật của Nhà nước đến Nhân dân trên địa bàn; vận động Nhân dân nâng cao ý thức chấp hành pháp luật.</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Phối hợp với các phòng, ban, ngành và các tổ chức chính trị - xã hội triển khai các hoạt động phổ biến, giáo dục pháp luật tại cơ sở; tạo điều kiện để người dân tiếp cận thông tin pháp luật thuận lợi, kịp thời.</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Duy trì, củng cố và nâng cao hiệu quả hoạt động của tổ hòa giải ở cơ sở; kịp thời hòa giải các mâu thuẫn, tranh chấp phát sinh trong cộng đồng dân cư theo quy định của pháp luật. </w:t>
      </w:r>
    </w:p>
    <w:p>
      <w:pPr>
        <w:spacing w:after="4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7. Quy trình và tiến độ thực hiện</w:t>
      </w:r>
    </w:p>
    <w:p>
      <w:pPr>
        <w:spacing w:after="40" w:line="240" w:lineRule="auto"/>
        <w:ind w:firstLine="720"/>
        <w:jc w:val="both"/>
        <w:rPr>
          <w:rFonts w:ascii="Times New Roman" w:eastAsia="Times New Roman" w:hAnsi="Times New Roman" w:cs="Times New Roman"/>
          <w:spacing w:val="-6"/>
          <w:sz w:val="28"/>
          <w:szCs w:val="28"/>
        </w:rPr>
      </w:pPr>
      <w:r>
        <w:rPr>
          <w:rFonts w:ascii="Times New Roman" w:eastAsia="Times New Roman" w:hAnsi="Times New Roman" w:cs="Times New Roman"/>
          <w:b/>
          <w:bCs/>
          <w:i/>
          <w:iCs/>
          <w:spacing w:val="-6"/>
          <w:sz w:val="28"/>
          <w:szCs w:val="28"/>
        </w:rPr>
        <w:t>- Từ ngày 15/10/2026 đến ngày 30/10/2026:</w:t>
      </w:r>
      <w:r>
        <w:rPr>
          <w:rFonts w:ascii="Times New Roman" w:eastAsia="Times New Roman" w:hAnsi="Times New Roman" w:cs="Times New Roman"/>
          <w:spacing w:val="-6"/>
          <w:sz w:val="28"/>
          <w:szCs w:val="28"/>
        </w:rPr>
        <w:t xml:space="preserve"> Các phòng, ban, công chức chuyên môn tổng hợp hồ sơ chuyển Văn phòng HĐND-UBDN xã để hoàn thành việc tự chấm điểm theo biểu mẫu, sao lưu đầy đủ tài liệu kiểm chứng gửi kèm theo.</w:t>
      </w:r>
    </w:p>
    <w:p>
      <w:pPr>
        <w:spacing w:after="4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Từ ngày 01/11/2026 đến ngày 10/11/2026:</w:t>
      </w:r>
      <w:r>
        <w:rPr>
          <w:rFonts w:ascii="Times New Roman" w:eastAsia="Times New Roman" w:hAnsi="Times New Roman" w:cs="Times New Roman"/>
          <w:sz w:val="28"/>
          <w:szCs w:val="28"/>
        </w:rPr>
        <w:t xml:space="preserve"> UBND xã tiến hành niêm yết công khai Bảng tự chấm điểm, đánh giá kết quả đạt chuẩn tiếp cận pháp luật tại trụ sở UBND xã và phát thanh trên hệ thống loa truyền thanh để xin ý kiến nhân dân (thời hạn niêm yết tối thiểu là 10 ngày).</w:t>
      </w:r>
    </w:p>
    <w:p>
      <w:pPr>
        <w:spacing w:after="4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Trước ngày 15/11/2026:</w:t>
      </w:r>
      <w:r>
        <w:rPr>
          <w:rFonts w:ascii="Times New Roman" w:eastAsia="Times New Roman" w:hAnsi="Times New Roman" w:cs="Times New Roman"/>
          <w:sz w:val="28"/>
          <w:szCs w:val="28"/>
        </w:rPr>
        <w:t xml:space="preserve"> Văn phòng HĐND-UBDN xã tổng hợp ý kiến nhân dân, hoàn thiện dự thảo Báo cáo tự đánh giá và Tờ trình gửi Chủ tịch UBND xã xem xét, ký duyệt chốt hồ sơ.</w:t>
      </w:r>
    </w:p>
    <w:p>
      <w:pPr>
        <w:spacing w:after="4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 xml:space="preserve">Giao Văn phòng HĐND-UBDN xã theo dõi, đôn đốc các bộ phận thực hiện đúng tiến độ. </w:t>
      </w:r>
      <w:r>
        <w:rPr>
          <w:rFonts w:ascii="Times New Roman" w:hAnsi="Times New Roman" w:cs="Times New Roman"/>
          <w:sz w:val="28"/>
          <w:szCs w:val="28"/>
        </w:rPr>
        <w:t xml:space="preserve">Trong quá trình triển khai thực hiện, các phòng, ban, ngành, đơn vị cần chủ động phối hợp chặt chẽ, bảo đảm thực hiện đúng tiến độ và chất lượng; đồng thời thực hiện nghiêm chế độ thông tin, báo cáo, xây dựng và cung cấp đầy đủ hồ sơ, tài liệu minh chứng phục vụ công tác kiểm tra, thẩm tra và đề nghị công nhận xã đạt chuẩn tiếp cận pháp luật. </w:t>
      </w:r>
    </w:p>
    <w:p>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Trường hợp phát sinh khó khăn, vướng mắc, các đơn vị kịp thời phản ánh về UBND xã (qua Văn phòng HĐND - UBND) để được hướng dẫn, giải quyết hoặc tổng hợp báo cáo cấp có thẩm quyền xem xét./.</w:t>
      </w:r>
    </w:p>
    <w:p>
      <w:pPr>
        <w:spacing w:after="120" w:line="240" w:lineRule="auto"/>
        <w:ind w:firstLine="720"/>
        <w:jc w:val="center"/>
        <w:rPr>
          <w:rFonts w:ascii="Times New Roman" w:hAnsi="Times New Roman" w:cs="Times New Roman"/>
          <w:i/>
          <w:iCs/>
          <w:sz w:val="28"/>
          <w:szCs w:val="28"/>
        </w:rPr>
      </w:pPr>
      <w:r>
        <w:rPr>
          <w:rFonts w:ascii="Times New Roman" w:hAnsi="Times New Roman" w:cs="Times New Roman"/>
          <w:i/>
          <w:iCs/>
          <w:sz w:val="28"/>
          <w:szCs w:val="28"/>
        </w:rPr>
        <w:t>(UBND xã gửi các văn bản chỉ đạo, hướng dẫn kèm theo)</w:t>
      </w:r>
    </w:p>
    <w:tbl>
      <w:tblPr>
        <w:tblW w:w="9072" w:type="dxa"/>
        <w:tblLook w:val="04A0" w:firstRow="1" w:lastRow="0" w:firstColumn="1" w:lastColumn="0" w:noHBand="0" w:noVBand="1"/>
      </w:tblPr>
      <w:tblGrid>
        <w:gridCol w:w="4962"/>
        <w:gridCol w:w="4110"/>
      </w:tblGrid>
      <w:tr>
        <w:tc>
          <w:tcPr>
            <w:tcW w:w="4962" w:type="dxa"/>
            <w:shd w:val="clear" w:color="auto" w:fill="auto"/>
          </w:tcPr>
          <w:p>
            <w:pPr>
              <w:pStyle w:val="NormalWeb"/>
              <w:spacing w:before="0" w:beforeAutospacing="0" w:after="0" w:afterAutospacing="0"/>
              <w:ind w:left="-255"/>
              <w:rPr>
                <w:b/>
                <w:bCs/>
                <w:i/>
                <w:iCs/>
                <w:color w:val="000000" w:themeColor="text1"/>
              </w:rPr>
            </w:pPr>
            <w:r>
              <w:rPr>
                <w:b/>
                <w:bCs/>
                <w:i/>
                <w:iCs/>
                <w:color w:val="000000" w:themeColor="text1"/>
              </w:rPr>
              <w:t xml:space="preserve">     Nơi nhận:</w:t>
            </w:r>
          </w:p>
          <w:p>
            <w:pPr>
              <w:pStyle w:val="NormalWeb"/>
              <w:spacing w:before="0" w:beforeAutospacing="0" w:after="0" w:afterAutospacing="0"/>
              <w:ind w:left="-255"/>
              <w:rPr>
                <w:iCs/>
                <w:color w:val="000000" w:themeColor="text1"/>
                <w:sz w:val="22"/>
                <w:szCs w:val="22"/>
              </w:rPr>
            </w:pPr>
            <w:r>
              <w:rPr>
                <w:i/>
                <w:iCs/>
                <w:color w:val="000000" w:themeColor="text1"/>
                <w:sz w:val="22"/>
                <w:szCs w:val="22"/>
              </w:rPr>
              <w:t xml:space="preserve">      </w:t>
            </w:r>
            <w:r>
              <w:rPr>
                <w:iCs/>
                <w:color w:val="000000" w:themeColor="text1"/>
                <w:sz w:val="22"/>
                <w:szCs w:val="22"/>
              </w:rPr>
              <w:t>- Như trên;</w:t>
            </w:r>
          </w:p>
          <w:p>
            <w:pPr>
              <w:pStyle w:val="NormalWeb"/>
              <w:spacing w:before="0" w:beforeAutospacing="0" w:after="0" w:afterAutospacing="0"/>
              <w:ind w:left="-255"/>
              <w:rPr>
                <w:iCs/>
                <w:color w:val="000000" w:themeColor="text1"/>
                <w:sz w:val="22"/>
                <w:szCs w:val="22"/>
              </w:rPr>
            </w:pPr>
            <w:r>
              <w:rPr>
                <w:iCs/>
                <w:color w:val="000000" w:themeColor="text1"/>
                <w:sz w:val="22"/>
                <w:szCs w:val="22"/>
              </w:rPr>
              <w:t xml:space="preserve">     - Sở Tư pháp (để b/c);</w:t>
            </w:r>
          </w:p>
          <w:p>
            <w:pPr>
              <w:pStyle w:val="NormalWeb"/>
              <w:spacing w:before="0" w:beforeAutospacing="0" w:after="0" w:afterAutospacing="0"/>
              <w:ind w:left="-255"/>
              <w:rPr>
                <w:iCs/>
                <w:color w:val="000000" w:themeColor="text1"/>
                <w:sz w:val="22"/>
                <w:szCs w:val="22"/>
              </w:rPr>
            </w:pPr>
            <w:r>
              <w:rPr>
                <w:iCs/>
                <w:color w:val="000000" w:themeColor="text1"/>
                <w:sz w:val="22"/>
                <w:szCs w:val="22"/>
              </w:rPr>
              <w:t xml:space="preserve">     - TT Đảng ủy, TT HĐND xã (để b/c);</w:t>
            </w:r>
          </w:p>
          <w:p>
            <w:pPr>
              <w:pStyle w:val="NormalWeb"/>
              <w:spacing w:before="0" w:beforeAutospacing="0" w:after="0" w:afterAutospacing="0"/>
              <w:ind w:left="-255"/>
              <w:rPr>
                <w:iCs/>
                <w:color w:val="000000" w:themeColor="text1"/>
                <w:sz w:val="22"/>
                <w:szCs w:val="22"/>
              </w:rPr>
            </w:pPr>
            <w:r>
              <w:rPr>
                <w:iCs/>
                <w:color w:val="000000" w:themeColor="text1"/>
                <w:sz w:val="22"/>
                <w:szCs w:val="22"/>
              </w:rPr>
              <w:t xml:space="preserve">     - Chủ tịch, các PCT UBND xã;</w:t>
            </w:r>
          </w:p>
          <w:p>
            <w:pPr>
              <w:pStyle w:val="NormalWeb"/>
              <w:spacing w:before="0" w:beforeAutospacing="0" w:after="0" w:afterAutospacing="0"/>
              <w:ind w:left="-255"/>
              <w:rPr>
                <w:iCs/>
                <w:color w:val="000000" w:themeColor="text1"/>
                <w:sz w:val="22"/>
                <w:szCs w:val="22"/>
              </w:rPr>
            </w:pPr>
            <w:r>
              <w:rPr>
                <w:iCs/>
                <w:color w:val="000000" w:themeColor="text1"/>
                <w:sz w:val="22"/>
                <w:szCs w:val="22"/>
              </w:rPr>
              <w:t xml:space="preserve">     - Lưu: VT.</w:t>
            </w:r>
          </w:p>
        </w:tc>
        <w:tc>
          <w:tcPr>
            <w:tcW w:w="4110" w:type="dxa"/>
            <w:shd w:val="clear" w:color="auto" w:fill="auto"/>
          </w:tcPr>
          <w:p>
            <w:pPr>
              <w:pStyle w:val="NormalWeb"/>
              <w:spacing w:before="0" w:beforeAutospacing="0" w:after="0" w:afterAutospacing="0" w:line="320" w:lineRule="exact"/>
              <w:jc w:val="center"/>
              <w:rPr>
                <w:b/>
                <w:bCs/>
                <w:color w:val="000000" w:themeColor="text1"/>
                <w:sz w:val="28"/>
                <w:szCs w:val="28"/>
              </w:rPr>
            </w:pPr>
            <w:r>
              <w:rPr>
                <w:b/>
                <w:bCs/>
                <w:color w:val="000000" w:themeColor="text1"/>
                <w:sz w:val="28"/>
                <w:szCs w:val="28"/>
              </w:rPr>
              <w:t>TM. ỦY BAN NHÂN DÂN</w:t>
            </w:r>
          </w:p>
          <w:p>
            <w:pPr>
              <w:pStyle w:val="NormalWeb"/>
              <w:spacing w:before="0" w:beforeAutospacing="0" w:after="0" w:afterAutospacing="0" w:line="320" w:lineRule="exact"/>
              <w:jc w:val="center"/>
              <w:rPr>
                <w:b/>
                <w:bCs/>
                <w:color w:val="000000" w:themeColor="text1"/>
                <w:sz w:val="28"/>
                <w:szCs w:val="28"/>
              </w:rPr>
            </w:pPr>
            <w:r>
              <w:rPr>
                <w:b/>
                <w:bCs/>
                <w:color w:val="000000" w:themeColor="text1"/>
                <w:sz w:val="28"/>
                <w:szCs w:val="28"/>
              </w:rPr>
              <w:t xml:space="preserve"> KT. CHỦ TỊCH</w:t>
            </w:r>
          </w:p>
          <w:p>
            <w:pPr>
              <w:pStyle w:val="NormalWeb"/>
              <w:spacing w:before="0" w:beforeAutospacing="0" w:after="0" w:afterAutospacing="0" w:line="320" w:lineRule="exact"/>
              <w:jc w:val="center"/>
              <w:rPr>
                <w:b/>
                <w:bCs/>
                <w:color w:val="000000" w:themeColor="text1"/>
                <w:sz w:val="28"/>
                <w:szCs w:val="28"/>
              </w:rPr>
            </w:pPr>
            <w:r>
              <w:rPr>
                <w:b/>
                <w:bCs/>
                <w:color w:val="000000" w:themeColor="text1"/>
                <w:sz w:val="28"/>
                <w:szCs w:val="28"/>
              </w:rPr>
              <w:t>PHÓ CHỦ TỊCH</w:t>
            </w:r>
          </w:p>
          <w:p>
            <w:pPr>
              <w:pStyle w:val="NormalWeb"/>
              <w:spacing w:before="0" w:beforeAutospacing="0" w:after="0" w:afterAutospacing="0" w:line="320" w:lineRule="exact"/>
              <w:jc w:val="center"/>
              <w:rPr>
                <w:b/>
                <w:bCs/>
                <w:color w:val="000000" w:themeColor="text1"/>
                <w:sz w:val="28"/>
                <w:szCs w:val="28"/>
              </w:rPr>
            </w:pPr>
            <w:r>
              <w:rPr>
                <w:b/>
                <w:bCs/>
                <w:color w:val="000000" w:themeColor="text1"/>
                <w:sz w:val="28"/>
                <w:szCs w:val="28"/>
              </w:rPr>
              <w:t xml:space="preserve"> </w:t>
            </w:r>
          </w:p>
          <w:p>
            <w:pPr>
              <w:pStyle w:val="NormalWeb"/>
              <w:spacing w:before="0" w:beforeAutospacing="0" w:after="0" w:afterAutospacing="0" w:line="320" w:lineRule="exact"/>
              <w:jc w:val="center"/>
              <w:rPr>
                <w:b/>
                <w:bCs/>
                <w:color w:val="000000" w:themeColor="text1"/>
                <w:sz w:val="28"/>
                <w:szCs w:val="28"/>
              </w:rPr>
            </w:pPr>
            <w:r>
              <w:rPr>
                <w:b/>
                <w:bCs/>
                <w:color w:val="000000" w:themeColor="text1"/>
                <w:sz w:val="28"/>
                <w:szCs w:val="28"/>
              </w:rPr>
              <w:t xml:space="preserve"> </w:t>
            </w:r>
          </w:p>
          <w:p>
            <w:pPr>
              <w:pStyle w:val="NormalWeb"/>
              <w:spacing w:before="0" w:beforeAutospacing="0" w:after="0" w:afterAutospacing="0" w:line="320" w:lineRule="exact"/>
              <w:rPr>
                <w:b/>
                <w:bCs/>
                <w:color w:val="000000" w:themeColor="text1"/>
                <w:sz w:val="28"/>
                <w:szCs w:val="28"/>
              </w:rPr>
            </w:pPr>
          </w:p>
          <w:p>
            <w:pPr>
              <w:pStyle w:val="NormalWeb"/>
              <w:spacing w:before="0" w:beforeAutospacing="0" w:after="0" w:afterAutospacing="0" w:line="320" w:lineRule="exact"/>
              <w:rPr>
                <w:b/>
                <w:bCs/>
                <w:color w:val="000000" w:themeColor="text1"/>
                <w:sz w:val="28"/>
                <w:szCs w:val="28"/>
              </w:rPr>
            </w:pPr>
          </w:p>
          <w:p>
            <w:pPr>
              <w:pStyle w:val="NormalWeb"/>
              <w:spacing w:before="0" w:beforeAutospacing="0" w:after="0" w:afterAutospacing="0" w:line="320" w:lineRule="exact"/>
              <w:jc w:val="center"/>
              <w:rPr>
                <w:b/>
                <w:bCs/>
                <w:color w:val="000000" w:themeColor="text1"/>
                <w:sz w:val="28"/>
                <w:szCs w:val="28"/>
              </w:rPr>
            </w:pPr>
            <w:r>
              <w:rPr>
                <w:b/>
                <w:bCs/>
                <w:color w:val="000000" w:themeColor="text1"/>
                <w:sz w:val="28"/>
                <w:szCs w:val="28"/>
              </w:rPr>
              <w:t>Nguyễn Tiến Thích</w:t>
            </w:r>
          </w:p>
        </w:tc>
      </w:tr>
    </w:tbl>
    <w:p>
      <w:pPr>
        <w:rPr>
          <w:rFonts w:ascii="Times New Roman" w:eastAsia="Times New Roman" w:hAnsi="Times New Roman" w:cs="Times New Roman"/>
          <w:sz w:val="24"/>
          <w:szCs w:val="24"/>
        </w:rPr>
      </w:pPr>
    </w:p>
    <w:sectPr>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325B"/>
    <w:multiLevelType w:val="multilevel"/>
    <w:tmpl w:val="18FA9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D0D99"/>
    <w:multiLevelType w:val="multilevel"/>
    <w:tmpl w:val="C7E6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90E62"/>
    <w:multiLevelType w:val="multilevel"/>
    <w:tmpl w:val="E3480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61E00"/>
    <w:multiLevelType w:val="multilevel"/>
    <w:tmpl w:val="2F62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B2CAD"/>
    <w:multiLevelType w:val="multilevel"/>
    <w:tmpl w:val="3594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40212"/>
    <w:multiLevelType w:val="multilevel"/>
    <w:tmpl w:val="2EDAE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25C0C"/>
    <w:multiLevelType w:val="multilevel"/>
    <w:tmpl w:val="17B25B8E"/>
    <w:lvl w:ilvl="0">
      <w:start w:val="1"/>
      <w:numFmt w:val="decimal"/>
      <w:lvlText w:val="%1."/>
      <w:lvlJc w:val="left"/>
      <w:pPr>
        <w:ind w:left="420" w:hanging="420"/>
      </w:pPr>
      <w:rPr>
        <w:rFonts w:hint="default"/>
        <w:b/>
      </w:rPr>
    </w:lvl>
    <w:lvl w:ilvl="1">
      <w:start w:val="2"/>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7" w15:restartNumberingAfterBreak="0">
    <w:nsid w:val="4AB13D3D"/>
    <w:multiLevelType w:val="multilevel"/>
    <w:tmpl w:val="23AA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CC6BCD"/>
    <w:multiLevelType w:val="multilevel"/>
    <w:tmpl w:val="BD36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D47941"/>
    <w:multiLevelType w:val="multilevel"/>
    <w:tmpl w:val="253C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096B82"/>
    <w:multiLevelType w:val="hybridMultilevel"/>
    <w:tmpl w:val="048A85C8"/>
    <w:lvl w:ilvl="0" w:tplc="3EE40A14">
      <w:start w:val="5"/>
      <w:numFmt w:val="bullet"/>
      <w:lvlText w:val="-"/>
      <w:lvlJc w:val="left"/>
      <w:pPr>
        <w:ind w:left="3240" w:hanging="36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4"/>
  </w:num>
  <w:num w:numId="2">
    <w:abstractNumId w:val="2"/>
  </w:num>
  <w:num w:numId="3">
    <w:abstractNumId w:val="8"/>
  </w:num>
  <w:num w:numId="4">
    <w:abstractNumId w:val="9"/>
  </w:num>
  <w:num w:numId="5">
    <w:abstractNumId w:val="10"/>
  </w:num>
  <w:num w:numId="6">
    <w:abstractNumId w:val="6"/>
  </w:num>
  <w:num w:numId="7">
    <w:abstractNumId w:val="7"/>
  </w:num>
  <w:num w:numId="8">
    <w:abstractNumId w:val="3"/>
  </w:num>
  <w:num w:numId="9">
    <w:abstractNumId w:val="5"/>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1484D-9A3B-4E1C-8B9A-41DC7C8A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paragraph" w:customStyle="1" w:styleId="z1qcye">
    <w:name w:val="z1qcy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792846">
      <w:bodyDiv w:val="1"/>
      <w:marLeft w:val="0"/>
      <w:marRight w:val="0"/>
      <w:marTop w:val="0"/>
      <w:marBottom w:val="0"/>
      <w:divBdr>
        <w:top w:val="none" w:sz="0" w:space="0" w:color="auto"/>
        <w:left w:val="none" w:sz="0" w:space="0" w:color="auto"/>
        <w:bottom w:val="none" w:sz="0" w:space="0" w:color="auto"/>
        <w:right w:val="none" w:sz="0" w:space="0" w:color="auto"/>
      </w:divBdr>
      <w:divsChild>
        <w:div w:id="88897116">
          <w:marLeft w:val="0"/>
          <w:marRight w:val="0"/>
          <w:marTop w:val="0"/>
          <w:marBottom w:val="240"/>
          <w:divBdr>
            <w:top w:val="none" w:sz="0" w:space="0" w:color="auto"/>
            <w:left w:val="none" w:sz="0" w:space="0" w:color="auto"/>
            <w:bottom w:val="none" w:sz="0" w:space="0" w:color="auto"/>
            <w:right w:val="none" w:sz="0" w:space="0" w:color="auto"/>
          </w:divBdr>
        </w:div>
        <w:div w:id="1571231979">
          <w:marLeft w:val="0"/>
          <w:marRight w:val="0"/>
          <w:marTop w:val="180"/>
          <w:marBottom w:val="240"/>
          <w:divBdr>
            <w:top w:val="none" w:sz="0" w:space="0" w:color="auto"/>
            <w:left w:val="none" w:sz="0" w:space="0" w:color="auto"/>
            <w:bottom w:val="none" w:sz="0" w:space="0" w:color="auto"/>
            <w:right w:val="none" w:sz="0" w:space="0" w:color="auto"/>
          </w:divBdr>
        </w:div>
        <w:div w:id="132331803">
          <w:marLeft w:val="0"/>
          <w:marRight w:val="0"/>
          <w:marTop w:val="0"/>
          <w:marBottom w:val="0"/>
          <w:divBdr>
            <w:top w:val="none" w:sz="0" w:space="0" w:color="auto"/>
            <w:left w:val="none" w:sz="0" w:space="0" w:color="auto"/>
            <w:bottom w:val="none" w:sz="0" w:space="0" w:color="auto"/>
            <w:right w:val="none" w:sz="0" w:space="0" w:color="auto"/>
          </w:divBdr>
        </w:div>
        <w:div w:id="2119373886">
          <w:marLeft w:val="0"/>
          <w:marRight w:val="0"/>
          <w:marTop w:val="0"/>
          <w:marBottom w:val="0"/>
          <w:divBdr>
            <w:top w:val="none" w:sz="0" w:space="0" w:color="auto"/>
            <w:left w:val="none" w:sz="0" w:space="0" w:color="auto"/>
            <w:bottom w:val="none" w:sz="0" w:space="0" w:color="auto"/>
            <w:right w:val="none" w:sz="0" w:space="0" w:color="auto"/>
          </w:divBdr>
          <w:divsChild>
            <w:div w:id="1381784682">
              <w:marLeft w:val="0"/>
              <w:marRight w:val="0"/>
              <w:marTop w:val="360"/>
              <w:marBottom w:val="180"/>
              <w:divBdr>
                <w:top w:val="none" w:sz="0" w:space="0" w:color="auto"/>
                <w:left w:val="none" w:sz="0" w:space="0" w:color="auto"/>
                <w:bottom w:val="none" w:sz="0" w:space="0" w:color="auto"/>
                <w:right w:val="none" w:sz="0" w:space="0" w:color="auto"/>
              </w:divBdr>
            </w:div>
          </w:divsChild>
        </w:div>
        <w:div w:id="1665627038">
          <w:marLeft w:val="0"/>
          <w:marRight w:val="0"/>
          <w:marTop w:val="0"/>
          <w:marBottom w:val="0"/>
          <w:divBdr>
            <w:top w:val="none" w:sz="0" w:space="0" w:color="auto"/>
            <w:left w:val="none" w:sz="0" w:space="0" w:color="auto"/>
            <w:bottom w:val="none" w:sz="0" w:space="0" w:color="auto"/>
            <w:right w:val="none" w:sz="0" w:space="0" w:color="auto"/>
          </w:divBdr>
          <w:divsChild>
            <w:div w:id="266737735">
              <w:marLeft w:val="0"/>
              <w:marRight w:val="0"/>
              <w:marTop w:val="180"/>
              <w:marBottom w:val="240"/>
              <w:divBdr>
                <w:top w:val="none" w:sz="0" w:space="0" w:color="auto"/>
                <w:left w:val="none" w:sz="0" w:space="0" w:color="auto"/>
                <w:bottom w:val="none" w:sz="0" w:space="0" w:color="auto"/>
                <w:right w:val="none" w:sz="0" w:space="0" w:color="auto"/>
              </w:divBdr>
            </w:div>
          </w:divsChild>
        </w:div>
        <w:div w:id="1762487134">
          <w:marLeft w:val="0"/>
          <w:marRight w:val="0"/>
          <w:marTop w:val="0"/>
          <w:marBottom w:val="0"/>
          <w:divBdr>
            <w:top w:val="none" w:sz="0" w:space="0" w:color="auto"/>
            <w:left w:val="none" w:sz="0" w:space="0" w:color="auto"/>
            <w:bottom w:val="none" w:sz="0" w:space="0" w:color="auto"/>
            <w:right w:val="none" w:sz="0" w:space="0" w:color="auto"/>
          </w:divBdr>
        </w:div>
        <w:div w:id="636224336">
          <w:marLeft w:val="0"/>
          <w:marRight w:val="0"/>
          <w:marTop w:val="0"/>
          <w:marBottom w:val="0"/>
          <w:divBdr>
            <w:top w:val="none" w:sz="0" w:space="0" w:color="auto"/>
            <w:left w:val="none" w:sz="0" w:space="0" w:color="auto"/>
            <w:bottom w:val="none" w:sz="0" w:space="0" w:color="auto"/>
            <w:right w:val="none" w:sz="0" w:space="0" w:color="auto"/>
          </w:divBdr>
        </w:div>
        <w:div w:id="1674795584">
          <w:marLeft w:val="0"/>
          <w:marRight w:val="0"/>
          <w:marTop w:val="0"/>
          <w:marBottom w:val="0"/>
          <w:divBdr>
            <w:top w:val="none" w:sz="0" w:space="0" w:color="auto"/>
            <w:left w:val="none" w:sz="0" w:space="0" w:color="auto"/>
            <w:bottom w:val="none" w:sz="0" w:space="0" w:color="auto"/>
            <w:right w:val="none" w:sz="0" w:space="0" w:color="auto"/>
          </w:divBdr>
          <w:divsChild>
            <w:div w:id="198013455">
              <w:marLeft w:val="0"/>
              <w:marRight w:val="0"/>
              <w:marTop w:val="360"/>
              <w:marBottom w:val="180"/>
              <w:divBdr>
                <w:top w:val="none" w:sz="0" w:space="0" w:color="auto"/>
                <w:left w:val="none" w:sz="0" w:space="0" w:color="auto"/>
                <w:bottom w:val="none" w:sz="0" w:space="0" w:color="auto"/>
                <w:right w:val="none" w:sz="0" w:space="0" w:color="auto"/>
              </w:divBdr>
            </w:div>
          </w:divsChild>
        </w:div>
        <w:div w:id="739793039">
          <w:marLeft w:val="0"/>
          <w:marRight w:val="0"/>
          <w:marTop w:val="0"/>
          <w:marBottom w:val="0"/>
          <w:divBdr>
            <w:top w:val="none" w:sz="0" w:space="0" w:color="auto"/>
            <w:left w:val="none" w:sz="0" w:space="0" w:color="auto"/>
            <w:bottom w:val="none" w:sz="0" w:space="0" w:color="auto"/>
            <w:right w:val="none" w:sz="0" w:space="0" w:color="auto"/>
          </w:divBdr>
          <w:divsChild>
            <w:div w:id="2086804827">
              <w:marLeft w:val="0"/>
              <w:marRight w:val="0"/>
              <w:marTop w:val="180"/>
              <w:marBottom w:val="240"/>
              <w:divBdr>
                <w:top w:val="none" w:sz="0" w:space="0" w:color="auto"/>
                <w:left w:val="none" w:sz="0" w:space="0" w:color="auto"/>
                <w:bottom w:val="none" w:sz="0" w:space="0" w:color="auto"/>
                <w:right w:val="none" w:sz="0" w:space="0" w:color="auto"/>
              </w:divBdr>
            </w:div>
          </w:divsChild>
        </w:div>
        <w:div w:id="1894734061">
          <w:marLeft w:val="0"/>
          <w:marRight w:val="0"/>
          <w:marTop w:val="0"/>
          <w:marBottom w:val="0"/>
          <w:divBdr>
            <w:top w:val="none" w:sz="0" w:space="0" w:color="auto"/>
            <w:left w:val="none" w:sz="0" w:space="0" w:color="auto"/>
            <w:bottom w:val="none" w:sz="0" w:space="0" w:color="auto"/>
            <w:right w:val="none" w:sz="0" w:space="0" w:color="auto"/>
          </w:divBdr>
        </w:div>
        <w:div w:id="192546337">
          <w:marLeft w:val="0"/>
          <w:marRight w:val="0"/>
          <w:marTop w:val="0"/>
          <w:marBottom w:val="0"/>
          <w:divBdr>
            <w:top w:val="none" w:sz="0" w:space="0" w:color="auto"/>
            <w:left w:val="none" w:sz="0" w:space="0" w:color="auto"/>
            <w:bottom w:val="none" w:sz="0" w:space="0" w:color="auto"/>
            <w:right w:val="none" w:sz="0" w:space="0" w:color="auto"/>
          </w:divBdr>
        </w:div>
        <w:div w:id="847646181">
          <w:marLeft w:val="0"/>
          <w:marRight w:val="0"/>
          <w:marTop w:val="0"/>
          <w:marBottom w:val="0"/>
          <w:divBdr>
            <w:top w:val="none" w:sz="0" w:space="0" w:color="auto"/>
            <w:left w:val="none" w:sz="0" w:space="0" w:color="auto"/>
            <w:bottom w:val="none" w:sz="0" w:space="0" w:color="auto"/>
            <w:right w:val="none" w:sz="0" w:space="0" w:color="auto"/>
          </w:divBdr>
        </w:div>
        <w:div w:id="100809288">
          <w:marLeft w:val="0"/>
          <w:marRight w:val="0"/>
          <w:marTop w:val="0"/>
          <w:marBottom w:val="0"/>
          <w:divBdr>
            <w:top w:val="none" w:sz="0" w:space="0" w:color="auto"/>
            <w:left w:val="none" w:sz="0" w:space="0" w:color="auto"/>
            <w:bottom w:val="none" w:sz="0" w:space="0" w:color="auto"/>
            <w:right w:val="none" w:sz="0" w:space="0" w:color="auto"/>
          </w:divBdr>
        </w:div>
        <w:div w:id="2018581005">
          <w:marLeft w:val="0"/>
          <w:marRight w:val="0"/>
          <w:marTop w:val="0"/>
          <w:marBottom w:val="0"/>
          <w:divBdr>
            <w:top w:val="none" w:sz="0" w:space="0" w:color="auto"/>
            <w:left w:val="none" w:sz="0" w:space="0" w:color="auto"/>
            <w:bottom w:val="none" w:sz="0" w:space="0" w:color="auto"/>
            <w:right w:val="none" w:sz="0" w:space="0" w:color="auto"/>
          </w:divBdr>
        </w:div>
        <w:div w:id="686374950">
          <w:marLeft w:val="0"/>
          <w:marRight w:val="0"/>
          <w:marTop w:val="0"/>
          <w:marBottom w:val="0"/>
          <w:divBdr>
            <w:top w:val="none" w:sz="0" w:space="0" w:color="auto"/>
            <w:left w:val="none" w:sz="0" w:space="0" w:color="auto"/>
            <w:bottom w:val="none" w:sz="0" w:space="0" w:color="auto"/>
            <w:right w:val="none" w:sz="0" w:space="0" w:color="auto"/>
          </w:divBdr>
          <w:divsChild>
            <w:div w:id="86273543">
              <w:marLeft w:val="0"/>
              <w:marRight w:val="0"/>
              <w:marTop w:val="360"/>
              <w:marBottom w:val="180"/>
              <w:divBdr>
                <w:top w:val="none" w:sz="0" w:space="0" w:color="auto"/>
                <w:left w:val="none" w:sz="0" w:space="0" w:color="auto"/>
                <w:bottom w:val="none" w:sz="0" w:space="0" w:color="auto"/>
                <w:right w:val="none" w:sz="0" w:space="0" w:color="auto"/>
              </w:divBdr>
            </w:div>
          </w:divsChild>
        </w:div>
        <w:div w:id="1594825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3</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๖²⁴ʱɦồ тɦáї ρɦσηɠ༉</dc:creator>
  <cp:keywords/>
  <dc:description/>
  <cp:lastModifiedBy>ADMIN</cp:lastModifiedBy>
  <cp:revision>30</cp:revision>
  <dcterms:created xsi:type="dcterms:W3CDTF">2026-10-13T04:28:00Z</dcterms:created>
  <dcterms:modified xsi:type="dcterms:W3CDTF">2026-10-15T10:54:00Z</dcterms:modified>
</cp:coreProperties>
</file>