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3652"/>
        <w:gridCol w:w="5812"/>
      </w:tblGrid>
      <w:tr>
        <w:tc>
          <w:tcPr>
            <w:tcW w:w="3652" w:type="dxa"/>
            <w:tcBorders>
              <w:top w:val="nil"/>
              <w:left w:val="nil"/>
              <w:bottom w:val="nil"/>
              <w:right w:val="nil"/>
            </w:tcBorders>
          </w:tcPr>
          <w:p>
            <w:pPr>
              <w:widowControl w:val="0"/>
              <w:autoSpaceDE w:val="0"/>
              <w:autoSpaceDN w:val="0"/>
              <w:adjustRightInd w:val="0"/>
              <w:spacing w:after="0" w:line="240" w:lineRule="auto"/>
              <w:jc w:val="center"/>
              <w:rPr>
                <w:rFonts w:eastAsia="Calibri"/>
                <w:b/>
                <w:bCs/>
                <w:kern w:val="2"/>
                <w:sz w:val="26"/>
                <w:szCs w:val="26"/>
                <w:highlight w:val="white"/>
                <w14:ligatures w14:val="standardContextual"/>
              </w:rPr>
            </w:pPr>
            <w:r>
              <w:rPr>
                <w:rFonts w:eastAsia="Calibri"/>
                <w:b/>
                <w:bCs/>
                <w:kern w:val="2"/>
                <w:sz w:val="26"/>
                <w:szCs w:val="26"/>
                <w:highlight w:val="white"/>
                <w14:ligatures w14:val="standardContextual"/>
              </w:rPr>
              <w:t>ỦY BAN NHÂN DÂN</w:t>
            </w:r>
          </w:p>
          <w:p>
            <w:pPr>
              <w:widowControl w:val="0"/>
              <w:autoSpaceDE w:val="0"/>
              <w:autoSpaceDN w:val="0"/>
              <w:adjustRightInd w:val="0"/>
              <w:spacing w:after="0" w:line="240" w:lineRule="auto"/>
              <w:jc w:val="center"/>
              <w:rPr>
                <w:rFonts w:eastAsia="Calibri"/>
                <w:b/>
                <w:bCs/>
                <w:kern w:val="2"/>
                <w:sz w:val="26"/>
                <w:szCs w:val="26"/>
                <w:highlight w:val="white"/>
                <w14:ligatures w14:val="standardContextual"/>
              </w:rPr>
            </w:pPr>
            <w:r>
              <w:rPr>
                <w:rFonts w:eastAsia="Calibri"/>
                <w:b/>
                <w:bCs/>
                <w:kern w:val="2"/>
                <w:sz w:val="26"/>
                <w:szCs w:val="26"/>
                <w:highlight w:val="white"/>
                <w14:ligatures w14:val="standardContextual"/>
              </w:rPr>
              <w:t>XÃ HƯƠNG SƠN</w:t>
            </w:r>
          </w:p>
          <w:p>
            <w:pPr>
              <w:widowControl w:val="0"/>
              <w:autoSpaceDE w:val="0"/>
              <w:autoSpaceDN w:val="0"/>
              <w:adjustRightInd w:val="0"/>
              <w:spacing w:after="0" w:line="240" w:lineRule="auto"/>
              <w:jc w:val="center"/>
              <w:rPr>
                <w:rFonts w:eastAsia="Calibri"/>
                <w:kern w:val="2"/>
                <w:highlight w:val="white"/>
                <w14:ligatures w14:val="standardContextual"/>
              </w:rPr>
            </w:pPr>
            <w:r>
              <w:rPr>
                <w:rFonts w:eastAsia="Calibri"/>
                <w:noProof/>
                <w:kern w:val="2"/>
                <w:highlight w:val="white"/>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737235</wp:posOffset>
                      </wp:positionH>
                      <wp:positionV relativeFrom="paragraph">
                        <wp:posOffset>22860</wp:posOffset>
                      </wp:positionV>
                      <wp:extent cx="74676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7B4FA1"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05pt,1.8pt" to="116.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"/>
                  </w:pict>
                </mc:Fallback>
              </mc:AlternateContent>
            </w:r>
          </w:p>
          <w:p>
            <w:pPr>
              <w:widowControl w:val="0"/>
              <w:autoSpaceDE w:val="0"/>
              <w:autoSpaceDN w:val="0"/>
              <w:adjustRightInd w:val="0"/>
              <w:spacing w:after="0" w:line="240" w:lineRule="auto"/>
              <w:jc w:val="center"/>
              <w:rPr>
                <w:rFonts w:eastAsia="Calibri"/>
                <w:kern w:val="2"/>
                <w:highlight w:val="white"/>
                <w14:ligatures w14:val="standardContextual"/>
              </w:rPr>
            </w:pPr>
            <w:r>
              <w:rPr>
                <w:rFonts w:eastAsia="Calibri"/>
                <w:kern w:val="2"/>
                <w:highlight w:val="white"/>
                <w14:ligatures w14:val="standardContextual"/>
              </w:rPr>
              <w:t xml:space="preserve">Số: </w:t>
            </w:r>
            <w:r>
              <w:rPr>
                <w:rFonts w:eastAsia="Calibri"/>
                <w:bCs/>
                <w:kern w:val="2"/>
                <w:highlight w:val="white"/>
                <w14:ligatures w14:val="standardContextual"/>
              </w:rPr>
              <w:t xml:space="preserve">       </w:t>
            </w:r>
            <w:r>
              <w:rPr>
                <w:rFonts w:eastAsia="Calibri"/>
                <w:b/>
                <w:bCs/>
                <w:kern w:val="2"/>
                <w:highlight w:val="white"/>
                <w14:ligatures w14:val="standardContextual"/>
              </w:rPr>
              <w:t>/</w:t>
            </w:r>
            <w:r>
              <w:rPr>
                <w:rFonts w:eastAsia="Calibri"/>
                <w:kern w:val="2"/>
                <w:highlight w:val="white"/>
                <w14:ligatures w14:val="standardContextual"/>
              </w:rPr>
              <w:t>KH-UBND</w:t>
            </w:r>
          </w:p>
        </w:tc>
        <w:tc>
          <w:tcPr>
            <w:tcW w:w="5812" w:type="dxa"/>
            <w:tcBorders>
              <w:top w:val="nil"/>
              <w:left w:val="nil"/>
              <w:bottom w:val="nil"/>
              <w:right w:val="nil"/>
            </w:tcBorders>
          </w:tcPr>
          <w:p>
            <w:pPr>
              <w:widowControl w:val="0"/>
              <w:autoSpaceDE w:val="0"/>
              <w:autoSpaceDN w:val="0"/>
              <w:adjustRightInd w:val="0"/>
              <w:spacing w:after="0" w:line="240" w:lineRule="auto"/>
              <w:jc w:val="center"/>
              <w:rPr>
                <w:rFonts w:eastAsia="Calibri"/>
                <w:kern w:val="2"/>
                <w:sz w:val="26"/>
                <w:szCs w:val="26"/>
                <w:highlight w:val="white"/>
                <w14:ligatures w14:val="standardContextual"/>
              </w:rPr>
            </w:pPr>
            <w:r>
              <w:rPr>
                <w:rFonts w:eastAsia="Calibri"/>
                <w:b/>
                <w:bCs/>
                <w:kern w:val="2"/>
                <w:sz w:val="26"/>
                <w:szCs w:val="26"/>
                <w:highlight w:val="white"/>
                <w14:ligatures w14:val="standardContextual"/>
              </w:rPr>
              <w:t xml:space="preserve">CỘNG HÒA XÃ HỘI CHỦ NGHĨA VIỆT NAM </w:t>
            </w:r>
            <w:r>
              <w:rPr>
                <w:rFonts w:eastAsia="Calibri"/>
                <w:kern w:val="2"/>
                <w:sz w:val="26"/>
                <w:szCs w:val="26"/>
                <w:highlight w:val="white"/>
                <w14:ligatures w14:val="standardContextual"/>
              </w:rPr>
              <w:t xml:space="preserve"> </w:t>
            </w:r>
          </w:p>
          <w:p>
            <w:pPr>
              <w:widowControl w:val="0"/>
              <w:autoSpaceDE w:val="0"/>
              <w:autoSpaceDN w:val="0"/>
              <w:adjustRightInd w:val="0"/>
              <w:spacing w:after="0" w:line="240" w:lineRule="auto"/>
              <w:jc w:val="center"/>
              <w:rPr>
                <w:rFonts w:eastAsia="Calibri"/>
                <w:kern w:val="2"/>
                <w:sz w:val="26"/>
                <w:szCs w:val="26"/>
                <w:highlight w:val="white"/>
                <w14:ligatures w14:val="standardContextual"/>
              </w:rPr>
            </w:pPr>
            <w:r>
              <w:rPr>
                <w:rFonts w:eastAsia="Calibri"/>
                <w:b/>
                <w:bCs/>
                <w:kern w:val="2"/>
                <w:highlight w:val="white"/>
                <w14:ligatures w14:val="standardContextual"/>
              </w:rPr>
              <w:t>Độc lập - Tự do - Hạnh phúc</w:t>
            </w:r>
          </w:p>
          <w:p>
            <w:pPr>
              <w:widowControl w:val="0"/>
              <w:autoSpaceDE w:val="0"/>
              <w:autoSpaceDN w:val="0"/>
              <w:adjustRightInd w:val="0"/>
              <w:spacing w:after="0" w:line="240" w:lineRule="auto"/>
              <w:rPr>
                <w:rFonts w:eastAsia="Calibri"/>
                <w:kern w:val="2"/>
                <w:sz w:val="26"/>
                <w:szCs w:val="26"/>
                <w:highlight w:val="white"/>
                <w14:ligatures w14:val="standardContextual"/>
              </w:rPr>
            </w:pPr>
            <w:r>
              <w:rPr>
                <w:rFonts w:eastAsia="Calibri"/>
                <w:noProof/>
                <w:kern w:val="2"/>
                <w:sz w:val="26"/>
                <w:szCs w:val="26"/>
                <w:highlight w:val="white"/>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662305</wp:posOffset>
                      </wp:positionH>
                      <wp:positionV relativeFrom="paragraph">
                        <wp:posOffset>20955</wp:posOffset>
                      </wp:positionV>
                      <wp:extent cx="22098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5pt,1.65pt" to="226.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"/>
                  </w:pict>
                </mc:Fallback>
              </mc:AlternateContent>
            </w:r>
            <w:r>
              <w:rPr>
                <w:rFonts w:eastAsia="Calibri"/>
                <w:kern w:val="2"/>
                <w:sz w:val="26"/>
                <w:szCs w:val="26"/>
                <w:highlight w:val="white"/>
                <w14:ligatures w14:val="standardContextual"/>
              </w:rPr>
              <w:t xml:space="preserve">        </w:t>
            </w:r>
          </w:p>
          <w:p>
            <w:pPr>
              <w:widowControl w:val="0"/>
              <w:autoSpaceDE w:val="0"/>
              <w:autoSpaceDN w:val="0"/>
              <w:adjustRightInd w:val="0"/>
              <w:spacing w:after="0" w:line="240" w:lineRule="auto"/>
              <w:jc w:val="center"/>
              <w:rPr>
                <w:rFonts w:eastAsia="Calibri"/>
                <w:kern w:val="2"/>
                <w:sz w:val="26"/>
                <w:szCs w:val="26"/>
                <w:highlight w:val="white"/>
                <w:lang w:val="vi-VN"/>
                <w14:ligatures w14:val="standardContextual"/>
              </w:rPr>
            </w:pPr>
            <w:r>
              <w:rPr>
                <w:rFonts w:eastAsia="Calibri"/>
                <w:i/>
                <w:iCs/>
                <w:kern w:val="2"/>
                <w:highlight w:val="white"/>
                <w14:ligatures w14:val="standardContextual"/>
              </w:rPr>
              <w:t xml:space="preserve"> </w:t>
            </w:r>
            <w:r>
              <w:rPr>
                <w:rFonts w:eastAsia="Calibri"/>
                <w:i/>
                <w:iCs/>
                <w:kern w:val="2"/>
                <w:highlight w:val="white"/>
                <w:lang w:val="vi-VN"/>
                <w14:ligatures w14:val="standardContextual"/>
              </w:rPr>
              <w:t xml:space="preserve">Hương Sơn, ngày </w:t>
            </w:r>
            <w:r>
              <w:rPr>
                <w:rFonts w:eastAsia="Calibri"/>
                <w:i/>
                <w:iCs/>
                <w:kern w:val="2"/>
                <w:highlight w:val="white"/>
                <w14:ligatures w14:val="standardContextual"/>
              </w:rPr>
              <w:t xml:space="preserve">    </w:t>
            </w:r>
            <w:r>
              <w:rPr>
                <w:rFonts w:eastAsia="Calibri"/>
                <w:i/>
                <w:iCs/>
                <w:kern w:val="2"/>
                <w:highlight w:val="white"/>
                <w:lang w:val="vi-VN"/>
                <w14:ligatures w14:val="standardContextual"/>
              </w:rPr>
              <w:t xml:space="preserve">  tháng 10 năm 20</w:t>
            </w:r>
            <w:r>
              <w:rPr>
                <w:rFonts w:eastAsia="Calibri"/>
                <w:i/>
                <w:iCs/>
                <w:kern w:val="2"/>
                <w:highlight w:val="white"/>
                <w14:ligatures w14:val="standardContextual"/>
              </w:rPr>
              <w:t>2</w:t>
            </w:r>
            <w:r>
              <w:rPr>
                <w:rFonts w:eastAsia="Calibri"/>
                <w:i/>
                <w:iCs/>
                <w:kern w:val="2"/>
                <w:highlight w:val="white"/>
                <w:lang w:val="vi-VN"/>
                <w14:ligatures w14:val="standardContextual"/>
              </w:rPr>
              <w:t>6</w:t>
            </w:r>
          </w:p>
        </w:tc>
      </w:tr>
    </w:tbl>
    <w:p>
      <w:pPr>
        <w:widowControl w:val="0"/>
        <w:autoSpaceDE w:val="0"/>
        <w:autoSpaceDN w:val="0"/>
        <w:adjustRightInd w:val="0"/>
        <w:spacing w:after="0" w:line="240" w:lineRule="auto"/>
        <w:jc w:val="both"/>
        <w:rPr>
          <w:rFonts w:eastAsia="Calibri"/>
          <w:kern w:val="2"/>
          <w:highlight w:val="white"/>
          <w:lang w:val="vi-VN"/>
          <w14:ligatures w14:val="standardContextual"/>
        </w:rPr>
      </w:pPr>
    </w:p>
    <w:p>
      <w:pPr>
        <w:widowControl w:val="0"/>
        <w:autoSpaceDE w:val="0"/>
        <w:autoSpaceDN w:val="0"/>
        <w:adjustRightInd w:val="0"/>
        <w:spacing w:after="0" w:line="240" w:lineRule="auto"/>
        <w:jc w:val="center"/>
        <w:rPr>
          <w:rFonts w:eastAsia="Calibri"/>
          <w:b/>
          <w:bCs/>
          <w:kern w:val="2"/>
          <w:highlight w:val="white"/>
          <w:lang w:val="vi-VN"/>
          <w14:ligatures w14:val="standardContextual"/>
        </w:rPr>
      </w:pPr>
      <w:r>
        <w:rPr>
          <w:rFonts w:eastAsia="Calibri"/>
          <w:b/>
          <w:bCs/>
          <w:kern w:val="2"/>
          <w:highlight w:val="white"/>
          <w:lang w:val="vi-VN"/>
          <w14:ligatures w14:val="standardContextual"/>
        </w:rPr>
        <w:t xml:space="preserve">    </w:t>
      </w:r>
    </w:p>
    <w:p>
      <w:pPr>
        <w:widowControl w:val="0"/>
        <w:autoSpaceDE w:val="0"/>
        <w:autoSpaceDN w:val="0"/>
        <w:adjustRightInd w:val="0"/>
        <w:spacing w:after="0" w:line="240" w:lineRule="auto"/>
        <w:jc w:val="center"/>
        <w:rPr>
          <w:rFonts w:eastAsia="Calibri"/>
          <w:b/>
          <w:bCs/>
          <w:kern w:val="2"/>
          <w:highlight w:val="white"/>
          <w:lang w:val="vi-VN"/>
          <w14:ligatures w14:val="standardContextual"/>
        </w:rPr>
      </w:pPr>
      <w:r>
        <w:rPr>
          <w:rFonts w:eastAsia="Calibri"/>
          <w:b/>
          <w:bCs/>
          <w:kern w:val="2"/>
          <w:highlight w:val="white"/>
          <w:lang w:val="vi-VN"/>
          <w14:ligatures w14:val="standardContextual"/>
        </w:rPr>
        <w:t>KẾ HOẠCH</w:t>
      </w:r>
    </w:p>
    <w:p>
      <w:pPr>
        <w:widowControl w:val="0"/>
        <w:autoSpaceDE w:val="0"/>
        <w:autoSpaceDN w:val="0"/>
        <w:adjustRightInd w:val="0"/>
        <w:spacing w:after="0" w:line="240" w:lineRule="auto"/>
        <w:jc w:val="center"/>
        <w:rPr>
          <w:rFonts w:eastAsia="Calibri"/>
          <w:b/>
          <w:bCs/>
          <w:kern w:val="2"/>
          <w:lang w:val="vi-VN"/>
          <w14:ligatures w14:val="standardContextual"/>
        </w:rPr>
      </w:pPr>
      <w:r>
        <w:rPr>
          <w:rFonts w:eastAsia="Calibri"/>
          <w:b/>
          <w:bCs/>
          <w:kern w:val="2"/>
          <w:highlight w:val="white"/>
          <w:lang w:val="vi-VN"/>
          <w14:ligatures w14:val="standardContextual"/>
        </w:rPr>
        <w:t xml:space="preserve"> </w:t>
      </w:r>
      <w:r>
        <w:rPr>
          <w:rFonts w:eastAsia="Calibri"/>
          <w:b/>
          <w:bCs/>
          <w:kern w:val="2"/>
          <w:lang w:val="vi-VN"/>
          <w14:ligatures w14:val="standardContextual"/>
        </w:rPr>
        <w:t xml:space="preserve">Chăm sóc sức khỏe người cao tuổi giai đoạn 2026 </w:t>
      </w:r>
      <w:r>
        <w:rPr>
          <w:rFonts w:eastAsia="Calibri"/>
          <w:kern w:val="2"/>
          <w:lang w:val="vi-VN"/>
          <w14:ligatures w14:val="standardContextual"/>
        </w:rPr>
        <w:t>-</w:t>
      </w:r>
      <w:r>
        <w:rPr>
          <w:rFonts w:eastAsia="Calibri"/>
          <w:b/>
          <w:bCs/>
          <w:kern w:val="2"/>
          <w:lang w:val="vi-VN"/>
          <w14:ligatures w14:val="standardContextual"/>
        </w:rPr>
        <w:t xml:space="preserve"> 2030</w:t>
      </w:r>
    </w:p>
    <w:p>
      <w:pPr>
        <w:widowControl w:val="0"/>
        <w:autoSpaceDE w:val="0"/>
        <w:autoSpaceDN w:val="0"/>
        <w:adjustRightInd w:val="0"/>
        <w:spacing w:after="0" w:line="240" w:lineRule="auto"/>
        <w:jc w:val="center"/>
        <w:rPr>
          <w:rFonts w:eastAsia="Calibri"/>
          <w:b/>
          <w:bCs/>
          <w:kern w:val="2"/>
          <w:highlight w:val="white"/>
          <w:lang w:val="vi-VN"/>
          <w14:ligatures w14:val="standardContextual"/>
        </w:rPr>
      </w:pPr>
      <w:r>
        <w:rPr>
          <w:rFonts w:eastAsia="Calibri"/>
          <w:b/>
          <w:bCs/>
          <w:kern w:val="2"/>
          <w:lang w:val="vi-VN"/>
          <w14:ligatures w14:val="standardContextual"/>
        </w:rPr>
        <w:t>trên địa bàn xã Hương Sơn</w:t>
      </w:r>
    </w:p>
    <w:p>
      <w:pPr>
        <w:widowControl w:val="0"/>
        <w:autoSpaceDE w:val="0"/>
        <w:autoSpaceDN w:val="0"/>
        <w:adjustRightInd w:val="0"/>
        <w:spacing w:after="0" w:line="240" w:lineRule="auto"/>
        <w:jc w:val="center"/>
        <w:rPr>
          <w:rFonts w:eastAsia="Calibri"/>
          <w:b/>
          <w:bCs/>
          <w:kern w:val="2"/>
          <w:highlight w:val="white"/>
          <w:lang w:val="vi-VN"/>
          <w14:ligatures w14:val="standardContextual"/>
        </w:rPr>
      </w:pPr>
      <w:r>
        <w:rPr>
          <w:rFonts w:eastAsia="Calibri"/>
          <w:b/>
          <w:bCs/>
          <w:noProof/>
          <w:kern w:val="2"/>
          <w:highlight w:val="white"/>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2307590</wp:posOffset>
                </wp:positionH>
                <wp:positionV relativeFrom="paragraph">
                  <wp:posOffset>13335</wp:posOffset>
                </wp:positionV>
                <wp:extent cx="1219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1.05pt" to="27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8/j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"/>
            </w:pict>
          </mc:Fallback>
        </mc:AlternateContent>
      </w:r>
    </w:p>
    <w:p>
      <w:pPr>
        <w:spacing w:after="0" w:line="240" w:lineRule="auto"/>
        <w:ind w:firstLine="720"/>
        <w:jc w:val="both"/>
        <w:rPr>
          <w:rFonts w:eastAsia="Calibri"/>
          <w:color w:val="auto"/>
          <w:kern w:val="2"/>
          <w14:ligatures w14:val="standardContextual"/>
        </w:rPr>
      </w:pPr>
    </w:p>
    <w:p>
      <w:pPr>
        <w:spacing w:after="0" w:line="240" w:lineRule="auto"/>
        <w:ind w:firstLine="720"/>
        <w:jc w:val="both"/>
        <w:rPr>
          <w:rFonts w:eastAsia="Calibri"/>
          <w:color w:val="auto"/>
          <w:kern w:val="2"/>
          <w14:ligatures w14:val="standardContextual"/>
        </w:rPr>
      </w:pPr>
      <w:r>
        <w:rPr>
          <w:rFonts w:eastAsia="Calibri"/>
          <w:color w:val="auto"/>
          <w:kern w:val="2"/>
          <w14:ligatures w14:val="standardContextual"/>
        </w:rPr>
        <w:t>Thực hiện Quyết định số 1579/QĐ-TTg ngày 13</w:t>
      </w:r>
      <w:r>
        <w:rPr>
          <w:rFonts w:eastAsia="Calibri"/>
          <w:color w:val="auto"/>
          <w:kern w:val="2"/>
          <w:lang w:val="vi-VN"/>
          <w14:ligatures w14:val="standardContextual"/>
        </w:rPr>
        <w:t>/</w:t>
      </w:r>
      <w:r>
        <w:rPr>
          <w:rFonts w:eastAsia="Calibri"/>
          <w:color w:val="auto"/>
          <w:kern w:val="2"/>
          <w14:ligatures w14:val="standardContextual"/>
        </w:rPr>
        <w:t>10</w:t>
      </w:r>
      <w:r>
        <w:rPr>
          <w:rFonts w:eastAsia="Calibri"/>
          <w:color w:val="auto"/>
          <w:kern w:val="2"/>
          <w:lang w:val="vi-VN"/>
          <w14:ligatures w14:val="standardContextual"/>
        </w:rPr>
        <w:t>/</w:t>
      </w:r>
      <w:r>
        <w:rPr>
          <w:rFonts w:eastAsia="Calibri"/>
          <w:color w:val="auto"/>
          <w:kern w:val="2"/>
          <w14:ligatures w14:val="standardContextual"/>
        </w:rPr>
        <w:t>2020 của Thủ tướng Chính phủ phê duyệt Chương trình chăm sóc sức khỏe người cao tuổi đến năm 2030; Quyết định số 1116/QĐ-TTg ngày 22</w:t>
      </w:r>
      <w:r>
        <w:rPr>
          <w:rFonts w:eastAsia="Calibri"/>
          <w:color w:val="auto"/>
          <w:kern w:val="2"/>
          <w:lang w:val="vi-VN"/>
          <w14:ligatures w14:val="standardContextual"/>
        </w:rPr>
        <w:t>/</w:t>
      </w:r>
      <w:r>
        <w:rPr>
          <w:rFonts w:eastAsia="Calibri"/>
          <w:color w:val="auto"/>
          <w:kern w:val="2"/>
          <w14:ligatures w14:val="standardContextual"/>
        </w:rPr>
        <w:t>6</w:t>
      </w:r>
      <w:r>
        <w:rPr>
          <w:rFonts w:eastAsia="Calibri"/>
          <w:color w:val="auto"/>
          <w:kern w:val="2"/>
          <w:lang w:val="vi-VN"/>
          <w14:ligatures w14:val="standardContextual"/>
        </w:rPr>
        <w:t>/</w:t>
      </w:r>
      <w:r>
        <w:rPr>
          <w:rFonts w:eastAsia="Calibri"/>
          <w:color w:val="auto"/>
          <w:kern w:val="2"/>
          <w14:ligatures w14:val="standardContextual"/>
        </w:rPr>
        <w:t>2026 của Thủ tướng Chính phủ sửa đổi, bổ sung Quyết định số 1579/QĐ-TTg; Công văn số 5159/BYT-CDS ngày 10</w:t>
      </w:r>
      <w:r>
        <w:rPr>
          <w:rFonts w:eastAsia="Calibri"/>
          <w:color w:val="auto"/>
          <w:kern w:val="2"/>
          <w:lang w:val="vi-VN"/>
          <w14:ligatures w14:val="standardContextual"/>
        </w:rPr>
        <w:t>/</w:t>
      </w:r>
      <w:r>
        <w:rPr>
          <w:rFonts w:eastAsia="Calibri"/>
          <w:color w:val="auto"/>
          <w:kern w:val="2"/>
          <w14:ligatures w14:val="standardContextual"/>
        </w:rPr>
        <w:t>7</w:t>
      </w:r>
      <w:r>
        <w:rPr>
          <w:rFonts w:eastAsia="Calibri"/>
          <w:color w:val="auto"/>
          <w:kern w:val="2"/>
          <w:lang w:val="vi-VN"/>
          <w14:ligatures w14:val="standardContextual"/>
        </w:rPr>
        <w:t>/</w:t>
      </w:r>
      <w:r>
        <w:rPr>
          <w:rFonts w:eastAsia="Calibri"/>
          <w:color w:val="auto"/>
          <w:kern w:val="2"/>
          <w14:ligatures w14:val="standardContextual"/>
        </w:rPr>
        <w:t>2026 của Bộ Y tế về việc triển khai thực hiện Chương trình chăm sóc sức khỏe người cao tuổi đến năm 2030; Kế hoạch số 727/KH-UBND ngày 13</w:t>
      </w:r>
      <w:r>
        <w:rPr>
          <w:rFonts w:eastAsia="Calibri"/>
          <w:color w:val="auto"/>
          <w:kern w:val="2"/>
          <w:lang w:val="vi-VN"/>
          <w14:ligatures w14:val="standardContextual"/>
        </w:rPr>
        <w:t>/</w:t>
      </w:r>
      <w:r>
        <w:rPr>
          <w:rFonts w:eastAsia="Calibri"/>
          <w:color w:val="auto"/>
          <w:kern w:val="2"/>
          <w14:ligatures w14:val="standardContextual"/>
        </w:rPr>
        <w:t>10</w:t>
      </w:r>
      <w:r>
        <w:rPr>
          <w:rFonts w:eastAsia="Calibri"/>
          <w:color w:val="auto"/>
          <w:kern w:val="2"/>
          <w:lang w:val="vi-VN"/>
          <w14:ligatures w14:val="standardContextual"/>
        </w:rPr>
        <w:t>/</w:t>
      </w:r>
      <w:r>
        <w:rPr>
          <w:rFonts w:eastAsia="Calibri"/>
          <w:color w:val="auto"/>
          <w:kern w:val="2"/>
          <w14:ligatures w14:val="standardContextual"/>
        </w:rPr>
        <w:t xml:space="preserve">2026 của </w:t>
      </w:r>
      <w:r>
        <w:rPr>
          <w:rFonts w:eastAsia="Calibri"/>
          <w:color w:val="auto"/>
          <w:kern w:val="2"/>
          <w:szCs w:val="16"/>
          <w:lang w:val="vi-VN"/>
          <w14:ligatures w14:val="standardContextual"/>
        </w:rPr>
        <w:t>Ủy ban nhân dân tỉnh Hà Tĩnh</w:t>
      </w:r>
      <w:r>
        <w:rPr>
          <w:rFonts w:eastAsia="Calibri"/>
          <w:color w:val="auto"/>
          <w:kern w:val="2"/>
          <w14:ligatures w14:val="standardContextual"/>
        </w:rPr>
        <w:t xml:space="preserve"> về thực hiện Chương trình chăm sóc sức khỏe người cao tuổi giai đoạn 2026</w:t>
      </w:r>
      <w:r>
        <w:rPr>
          <w:rFonts w:eastAsia="Calibri"/>
          <w:color w:val="auto"/>
          <w:kern w:val="2"/>
          <w:lang w:val="vi-VN"/>
          <w14:ligatures w14:val="standardContextual"/>
        </w:rPr>
        <w:t xml:space="preserve"> - </w:t>
      </w:r>
      <w:r>
        <w:rPr>
          <w:rFonts w:eastAsia="Calibri"/>
          <w:color w:val="auto"/>
          <w:kern w:val="2"/>
          <w14:ligatures w14:val="standardContextual"/>
        </w:rPr>
        <w:t xml:space="preserve">2030 trên địa bàn tỉnh Hà Tĩnh, </w:t>
      </w:r>
      <w:r>
        <w:rPr>
          <w:rFonts w:eastAsia="Calibri"/>
          <w:color w:val="auto"/>
          <w:kern w:val="2"/>
          <w:szCs w:val="16"/>
          <w:lang w:val="vi-VN"/>
          <w14:ligatures w14:val="standardContextual"/>
        </w:rPr>
        <w:t>Ủy ban nhân dân xã</w:t>
      </w:r>
      <w:r>
        <w:rPr>
          <w:rFonts w:eastAsia="Calibri"/>
          <w:color w:val="auto"/>
          <w:kern w:val="2"/>
          <w14:ligatures w14:val="standardContextual"/>
        </w:rPr>
        <w:t xml:space="preserve"> Hương Sơn ban hành Kế hoạch chăm sóc sức khỏe người cao tuổi giai đoạn 2026</w:t>
      </w:r>
      <w:r>
        <w:rPr>
          <w:rFonts w:eastAsia="Calibri"/>
          <w:color w:val="auto"/>
          <w:kern w:val="2"/>
          <w:lang w:val="vi-VN"/>
          <w14:ligatures w14:val="standardContextual"/>
        </w:rPr>
        <w:t xml:space="preserve"> - </w:t>
      </w:r>
      <w:r>
        <w:rPr>
          <w:rFonts w:eastAsia="Calibri"/>
          <w:color w:val="auto"/>
          <w:kern w:val="2"/>
          <w14:ligatures w14:val="standardContextual"/>
        </w:rPr>
        <w:t>2030 trên địa bàn xã, cụ thể như sau:</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I. MỤC ĐÍCH, YÊU CẦU</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1. Mục đích</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triển khai đồng bộ, hiệu quả các nhiệm vụ, giải pháp chăm sóc sức khỏe người cao tuổi trên địa bàn xã giai đoạn 2026–2030; từng bước nâng cao chất lượng chăm sóc sức khỏe, góp phần cải thiện sức khỏe thể chất, tinh thần và chất lượng cuộc sống của người cao tuổi, đáp ứng yêu cầu thích ứng với quá trình già hóa dân số.</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Cụ thể hóa các mục tiêu, nhiệm vụ và giải pháp về chăm sóc sức khỏe người cao tuổi theo chỉ đạo của Ủy ban nhân dân tỉnh Hà Tĩnh; tăng cường khả năng tiếp cận các dịch vụ y tế, chăm sóc, tư vấn, khám bệnh, chữa bệnh và quản lý sức khỏe cho người cao tuổi tại gia đình và cộng đồng.</w:t>
      </w:r>
    </w:p>
    <w:p>
      <w:pPr>
        <w:spacing w:after="0" w:line="240" w:lineRule="auto"/>
        <w:ind w:firstLine="720"/>
        <w:jc w:val="both"/>
        <w:rPr>
          <w:rFonts w:eastAsia="Calibri"/>
          <w:b/>
          <w:bCs/>
          <w:color w:val="auto"/>
          <w:kern w:val="2"/>
          <w:lang w:val="vi-VN"/>
          <w14:ligatures w14:val="standardContextual"/>
        </w:rPr>
      </w:pPr>
      <w:r>
        <w:rPr>
          <w:rFonts w:eastAsia="Calibri"/>
          <w:b/>
          <w:bCs/>
          <w:color w:val="auto"/>
          <w:kern w:val="2"/>
          <w14:ligatures w14:val="standardContextual"/>
        </w:rPr>
        <w:t>2. Yêu cầu</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Việc triển khai các nhiệm vụ, giải pháp chăm sóc sức khỏe người cao tuổi phải bảo đảm đồng bộ, thiết thực, hiệu quả, phù hợp với điều kiện thực tế của địa phương và các quy định hiện hành; tăng cường sự phối hợp chặt chẽ giữa các bộ phận chuyên môn thuộc UBND xã, Trạm Y tế xã, các cơ quan, đơn vị, tổ chức chính trị - xã hội và các thôn; đồng thời huy động sự tham gia tích cực của gia đình, cộng đồng và toàn xã hội trong công tác chăm sóc sức khỏe người cao tuổi.</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Quan tâm, ưu tiên người cao tuổi có hoàn cảnh khó khăn, người cao tuổi thuộc hộ nghèo, hộ cận nghèo, người cao tuổi cô đơn, bệnh tật, người có công với cách mạng và các đối tượng yếu thế.</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 xml:space="preserve">Phân công nhiệm vụ cụ thể, xác định rõ trách nhiệm của từng cơ quan, đơn vị, bộ phận; nội dung công việc, tiến độ thực hiện và kết quả cần đạt được. Thường xuyên theo dõi, kiểm tra, giám sát, đánh giá tình hình và kết quả thực </w:t>
      </w:r>
      <w:r>
        <w:rPr>
          <w:rFonts w:eastAsia="Calibri"/>
          <w:color w:val="auto"/>
          <w:kern w:val="2"/>
          <w14:ligatures w14:val="standardContextual"/>
        </w:rPr>
        <w:lastRenderedPageBreak/>
        <w:t>hiện; kịp thời tháo gỡ khó khăn, vướng mắc phát sinh và thực hiện nghiêm chế độ thông tin, báo cáo theo quy định.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II. MỤC TIÊU</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1. Mục tiêu chung</w:t>
      </w:r>
    </w:p>
    <w:p>
      <w:pPr>
        <w:spacing w:after="0" w:line="240" w:lineRule="auto"/>
        <w:ind w:firstLine="720"/>
        <w:jc w:val="both"/>
        <w:rPr>
          <w:rFonts w:eastAsia="Calibri"/>
          <w:color w:val="auto"/>
          <w:kern w:val="2"/>
          <w14:ligatures w14:val="standardContextual"/>
        </w:rPr>
      </w:pPr>
      <w:r>
        <w:rPr>
          <w:rFonts w:eastAsia="Calibri"/>
          <w:color w:val="auto"/>
          <w:kern w:val="2"/>
          <w14:ligatures w14:val="standardContextual"/>
        </w:rPr>
        <w:t>Chăm sóc, nâng cao sức khỏe người cao tuổi, bảo đảm thích ứng với già hóa dân số; tăng cường công tác chăm sóc sức khỏe ban đầu, phòng, chống bệnh không lây nhiễm, khám bệnh, chữa bệnh, quản lý sức khỏe người cao tuổi tại gia đình và cộng đồng, góp phần thực hiện các mục tiêu về dân số và chăm sóc người cao tuổi trên địa bàn.</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2. Mục tiêu cụ thể đến năm 2030</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Ban hành và tổ chức thực hiện Kế hoạch chăm sóc sức khỏe người cao tuổi giai đoạn 2026</w:t>
      </w:r>
      <w:r>
        <w:rPr>
          <w:rFonts w:eastAsia="Calibri"/>
          <w:color w:val="auto"/>
          <w:kern w:val="2"/>
          <w:lang w:val="vi-VN"/>
          <w14:ligatures w14:val="standardContextual"/>
        </w:rPr>
        <w:t xml:space="preserve"> - </w:t>
      </w:r>
      <w:r>
        <w:rPr>
          <w:rFonts w:eastAsia="Calibri"/>
          <w:color w:val="auto"/>
          <w:kern w:val="2"/>
          <w14:ligatures w14:val="standardContextual"/>
        </w:rPr>
        <w:t>2030; lồng ghép các mục tiêu, chỉ tiêu chăm sóc sức khỏe người cao tuổi vào chương trình, kế hoạch phát triển kinh tế - xã hội của địa phương.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Phấn đấu có ít nhất 85% người cao tuổi hoặc người thân trực tiếp chăm sóc người cao tuổi được cung cấp, tiếp cận thông tin về già hóa dân số và quyền được chăm sóc của người cao tuổi.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Từ năm 2026, phấn đấu tổ chức khám sức khỏe định kỳ hoặc khám sàng lọc cho người cao tuổi ít nhất 01 lần/năm theo quy định chuyên môn, phù hợp với khả năng bố trí nguồn lực của địa phương; thực hiện lập hồ sơ theo dõi, quản lý sức khỏe người cao tuổi theo quy định.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Phấn đấu đến năm 2030 có ít nhất 90% người cao tuổi được phát hiện, điều trị, quản lý các bệnh không lây nhiễm như ung thư, tim mạch, tăng huyết áp, đái tháo đường, bệnh phổi tắc nghẽn mạn tính, sa sút trí tuệ và các bệnh liên quan theo quy định chuyên môn, trong phạm vi quyền lợi bảo hiểm y tế.</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Từng bước xây dựng, củng cố và phát triển câu lạc bộ chăm sóc người cao tuổi, đội tình nguyện viên tham gia chăm sóc người cao tuổi; triển khai các mô hình chăm sóc người cao tuổi phù hợp với điều kiện thực tế và khả năng huy động nguồn lực của địa phương.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Nâng cao năng lực cho người làm công tác chăm sóc sức khỏe người cao tuổi; tăng cường tư vấn, hướng dẫn người cao tuổi và thành viên gia đình kiến thức, kỹ năng tự chăm sóc sức khỏe, chăm sóc người cao tuổi.</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III. PHẠM VI, ĐỐI TƯỢNG</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1. Phạm vi</w:t>
      </w:r>
    </w:p>
    <w:p>
      <w:pPr>
        <w:spacing w:after="0" w:line="240" w:lineRule="auto"/>
        <w:ind w:firstLine="720"/>
        <w:jc w:val="both"/>
        <w:rPr>
          <w:rFonts w:eastAsia="Calibri"/>
          <w:color w:val="auto"/>
          <w:spacing w:val="-10"/>
          <w:kern w:val="2"/>
          <w14:ligatures w14:val="standardContextual"/>
        </w:rPr>
      </w:pPr>
      <w:r>
        <w:rPr>
          <w:rFonts w:eastAsia="Calibri"/>
          <w:color w:val="auto"/>
          <w:spacing w:val="-10"/>
          <w:kern w:val="2"/>
          <w14:ligatures w14:val="standardContextual"/>
        </w:rPr>
        <w:t>Kế hoạch được triển khai trên địa bàn xã Hương Sơn trong giai đoạn 2026</w:t>
      </w:r>
      <w:r>
        <w:rPr>
          <w:rFonts w:eastAsia="Calibri"/>
          <w:color w:val="auto"/>
          <w:spacing w:val="-10"/>
          <w:kern w:val="2"/>
          <w:lang w:val="vi-VN"/>
          <w14:ligatures w14:val="standardContextual"/>
        </w:rPr>
        <w:t xml:space="preserve"> - </w:t>
      </w:r>
      <w:r>
        <w:rPr>
          <w:rFonts w:eastAsia="Calibri"/>
          <w:color w:val="auto"/>
          <w:spacing w:val="-10"/>
          <w:kern w:val="2"/>
          <w14:ligatures w14:val="standardContextual"/>
        </w:rPr>
        <w:t>2030.</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2. Đối tượng</w:t>
      </w:r>
    </w:p>
    <w:p>
      <w:pPr>
        <w:spacing w:after="0" w:line="240" w:lineRule="auto"/>
        <w:ind w:firstLine="720"/>
        <w:jc w:val="both"/>
        <w:rPr>
          <w:rFonts w:eastAsia="Calibri"/>
          <w:color w:val="auto"/>
          <w:kern w:val="2"/>
          <w14:ligatures w14:val="standardContextual"/>
        </w:rPr>
      </w:pPr>
      <w:r>
        <w:rPr>
          <w:rFonts w:eastAsia="Calibri"/>
          <w:color w:val="auto"/>
          <w:kern w:val="2"/>
          <w14:ligatures w14:val="standardContextual"/>
        </w:rPr>
        <w:t xml:space="preserve">a) Đối tượng thụ hưởng: </w:t>
      </w:r>
      <w:r>
        <w:rPr>
          <w:rFonts w:eastAsia="Calibri"/>
          <w:color w:val="auto"/>
          <w:kern w:val="2"/>
          <w:lang w:val="vi-VN"/>
          <w14:ligatures w14:val="standardContextual"/>
        </w:rPr>
        <w:t>n</w:t>
      </w:r>
      <w:r>
        <w:rPr>
          <w:rFonts w:eastAsia="Calibri"/>
          <w:color w:val="auto"/>
          <w:kern w:val="2"/>
          <w14:ligatures w14:val="standardContextual"/>
        </w:rPr>
        <w:t>gười cao tuổi; gia đình có người cao tuổi; người thân trực tiếp chăm sóc người cao tuổi; người quản lý, cung cấp dịch vụ chăm sóc người cao tuổi. Ưu tiên người có công với cách mạng, người cao tuổi thuộc hộ nghèo, hộ cận nghèo và các đối tượng yếu thế trong xã hội.</w:t>
      </w:r>
    </w:p>
    <w:p>
      <w:pPr>
        <w:spacing w:after="0" w:line="240" w:lineRule="auto"/>
        <w:ind w:firstLine="720"/>
        <w:jc w:val="both"/>
        <w:rPr>
          <w:rFonts w:eastAsia="Calibri"/>
          <w:color w:val="auto"/>
          <w:kern w:val="2"/>
          <w14:ligatures w14:val="standardContextual"/>
        </w:rPr>
      </w:pPr>
      <w:r>
        <w:rPr>
          <w:rFonts w:eastAsia="Calibri"/>
          <w:color w:val="auto"/>
          <w:kern w:val="2"/>
          <w14:ligatures w14:val="standardContextual"/>
        </w:rPr>
        <w:t xml:space="preserve">b) Đối tượng tác động: </w:t>
      </w:r>
      <w:r>
        <w:rPr>
          <w:rFonts w:eastAsia="Calibri"/>
          <w:color w:val="auto"/>
          <w:kern w:val="2"/>
          <w:lang w:val="vi-VN"/>
          <w14:ligatures w14:val="standardContextual"/>
        </w:rPr>
        <w:t>n</w:t>
      </w:r>
      <w:r>
        <w:rPr>
          <w:rFonts w:eastAsia="Calibri"/>
          <w:color w:val="auto"/>
          <w:kern w:val="2"/>
          <w14:ligatures w14:val="standardContextual"/>
        </w:rPr>
        <w:t xml:space="preserve">gười dân trên địa bàn xã; các cơ quan, bộ phận chuyên môn thuộc </w:t>
      </w:r>
      <w:r>
        <w:rPr>
          <w:rFonts w:eastAsia="Calibri"/>
          <w:color w:val="auto"/>
          <w:kern w:val="2"/>
          <w:szCs w:val="16"/>
          <w:lang w:val="vi-VN"/>
          <w14:ligatures w14:val="standardContextual"/>
        </w:rPr>
        <w:t>Ủy ban nhân dân xã</w:t>
      </w:r>
      <w:r>
        <w:rPr>
          <w:rFonts w:eastAsia="Calibri"/>
          <w:color w:val="auto"/>
          <w:kern w:val="2"/>
          <w14:ligatures w14:val="standardContextual"/>
        </w:rPr>
        <w:t>; Trạm Y tế; các tổ chức chính trị - xã hội, Hội Người cao tuổi và các tổ chức, cá nhân tham gia thực hiện Kế hoạch.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IV. NHIỆM VỤ VÀ GIẢI PHÁP</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lastRenderedPageBreak/>
        <w:t>1. Tăng cường lãnh đạo, chỉ đạo; đẩy mạnh tuyên truyền, vận động thay đổi hành vi về chăm sóc người cao tuổi</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Tăng cường sự lãnh đạo, chỉ đạo của cấp ủy, chính quyền trong tổ chức triển khai thực hiện các nhiệm vụ chăm sóc sức khỏe người cao tuổi; nâng cao nhận thức, trách nhiệm của cán bộ, công chức, người lao động và Nhân dân về những cơ hội, thách thức của quá trình già hóa dân số đối với phát triển kinh tế - xã hội, nhất là yêu cầu chăm sóc, bảo vệ và nâng cao sức khỏe người cao tuổi.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Đẩy mạnh truyền thông, giáo dục, vận động thay đổi hành vi về quyền, nghĩa vụ, lợi ích của việc chăm sóc người cao tuổi; nâng cao nhận thức, trách nhiệm của gia đình, cộng đồng và xã hội trong chăm sóc, bảo vệ sức khỏe người cao tuổi.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các hoạt động truyền thông phù hợp như hội nghị, truyền thông nhóm, tư vấn tại gia đình về chăm sóc sức khỏe người cao tuổi; cung cấp thông tin về già hóa dân số, quyền được chăm sóc của người cao tuổi và các chính sách có liên quan.</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Lồng ghép nội dung tuyên truyền về chăm sóc sức khỏe người cao tuổi trong các hoạt động thông tin, truyền thông tại cơ sở; phát huy vai trò của Trạm Y tế xã, Hội Người cao tuổi, Ủy ban MTTQ Việt Nam xã, các tổ chức chính trị - xã hội, các thôn và gia đình trong vận động, hướng dẫn người dân tham gia các hoạt động chăm sóc sức khỏe người cao tuổi; từng bước xây dựng môi trường sống thân thiện, an toàn, góp phần nâng cao chất lượng cuộc sống của người cao tuổi trên địa bàn xã.</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2. Củng cố, phát triển dịch vụ chăm sóc sức khỏe ban đầu, phòng, chống bệnh không lây nhiễm và khám bệnh, chữa bệnh cho người cao tuổi</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Chỉ đạo Trạm Y tế xã căn cứ chức năng, nhiệm vụ, phạm vi hoạt động chuyên môn và hướng dẫn của ngành Y tế, tổ chức thực hiện các hoạt động chăm sóc sức khỏe ban đầu, phòng, chống bệnh không lây nhiễm, khám bệnh, chữa bệnh và quản lý sức khỏe người cao tuổi theo quy định.</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triển khai các hoạt động khám sức khỏe định kỳ, khám sàng lọc cho người cao tuổi theo hướng dẫn chuyên môn và kế hoạch của cấp có thẩm quyền; thực hiện lập, cập nhật hồ sơ theo dõi, quản lý sức khỏe người cao tuổi theo quy định, phù hợp với điều kiện thực tế và nguồn lực được giao</w:t>
      </w:r>
      <w:r>
        <w:rPr>
          <w:rFonts w:eastAsia="Calibri"/>
          <w:color w:val="auto"/>
          <w:kern w:val="2"/>
          <w:lang w:val="vi-VN"/>
          <w14:ligatures w14:val="standardContextual"/>
        </w:rPr>
        <w:t>.</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Tăng cường phát hiện sớm, quản lý, theo dõi và tư vấn chăm sóc đối với người cao tuổi mắc hoặc có nguy cơ mắc các bệnh không lây nhiễm như bệnh tim mạch, tăng huyết áp, đái tháo đường, bệnh phổi tắc nghẽn mạn tính, ung thư và các bệnh liên quan; thực hiện chuyển người bệnh đến cơ sở khám bệnh, chữa bệnh phù hợp khi vượt quá khả năng chuyên môn theo quy định.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Đẩy mạnh tuyên truyền, tư vấn, hướng dẫn người cao tuổi và gia đình về dinh dưỡng hợp lý, vận động thể lực phù hợp, tự chăm sóc sức khỏe, phòng ngừa bệnh tật và chủ động tiếp cận các dịch vụ y tế khi có nhu cầu.</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 xml:space="preserve">Phối hợp với các cơ quan, đơn vị liên quan rà soát nhu cầu chăm sóc sức khỏe của người cao tuổi, quan tâm người cao tuổi cô đơn, có hoàn cảnh khó khăn, mắc bệnh mạn tính hoặc hạn chế khả năng đi lại; tổ chức hoặc phối hợp thực hiện việc khám bệnh, chữa bệnh tại nơi cư trú đối với các trường hợp đủ điều kiện theo </w:t>
      </w:r>
      <w:r>
        <w:rPr>
          <w:rFonts w:eastAsia="Calibri"/>
          <w:color w:val="auto"/>
          <w:kern w:val="2"/>
          <w14:ligatures w14:val="standardContextual"/>
        </w:rPr>
        <w:lastRenderedPageBreak/>
        <w:t>quy định chuyên môn và khả năng cung cấp dịch vụ của cơ sở khám bệnh, chữa bệnh.</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Từng bước củng cố, phát triển các hoạt động tư vấn, chăm sóc sức khỏe, phát hiện sớm bệnh tật và hỗ trợ phục hồi chức năng cho người cao tuổi tại gia đình và cộng đồng; tăng cường phối hợp giữa Trạm Y tế, Hội Người cao tuổi, các tổ chức liên quan và các thôn trong công tác tuyên truyền, vận động, theo dõi và hỗ trợ người cao tuổi tiếp cận dịch vụ chăm sóc sức khỏe.</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3. Xây dựng, phát triển các mô hình chăm sóc người cao tuổi tại cộng đồng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Rà soát tình hình người cao tuổi và nhu cầu chăm sóc sức khỏe trên địa bàn để tổ chức các hoạt động chăm sóc phù hợp; quan tâm người cao tuổi cô đơn, bệnh tật, có hoàn cảnh khó khăn và các đối tượng yếu thế.</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với Hội Người cao tuổi và các tổ chức liên quan củng cố, phát triển câu lạc bộ chăm sóc người cao tuổi; lồng ghép nội dung chăm sóc sức khỏe vào hoạt động của Câu lạc bộ liên thế hệ tự giúp nhau và các mô hình câu lạc bộ người cao tuổi phù hợp.</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Xây dựng, phát triển đội tình nguyện viên tham gia theo dõi, hỗ trợ chăm sóc sức khỏe, quản lý các bệnh mạn tính, bệnh không lây nhiễm tại gia đình cho người cao tuổi theo điều kiện thực tế của địa phương.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Nghiên cứu, triển khai các mô hình cơ sở chăm sóc người cao tuổi ban ngày và các hình thức chăm sóc phù hợp; huy động nguồn lực hợp pháp, khuyến khích sự tham gia của tổ chức, cá nhân trong công tác chăm sóc người cao tuổi theo quy định.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Từng bước ứng dụng công nghệ thông tin trong cung cấp thông tin, tư vấn và hỗ trợ các hoạt động chăm sóc người cao tuổi tại gia đình, cộng đồng.</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4. Nâng cao năng lực cho người làm công tác chăm sóc sức khỏe người cao tuổi và kỹ năng tự chăm sóc sức khỏe</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triển khai các hoạt động đào tạo, tập huấn, nâng cao năng lực chuyên môn về chăm sóc sức khỏe người cao tuổi cho cán bộ, nhân viên y tế, cán bộ dân số, người làm công tác chăm sóc sức khỏe người cao tuổi và tình nguyện viên tham gia chăm sóc người cao tuổi tại cộng đồng theo hướng dẫn chuyên môn.</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tư vấn, hướng dẫn người cao tuổi kiến thức, kỹ năng tự chăm sóc sức khỏe; hướng dẫn thành viên gia đình kỹ năng chăm sóc người cao tuổi, phòng ngừa bệnh tật và hỗ trợ người cao tuổi trong sinh hoạt hằng ngày.</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Nâng cao trách nhiệm của gia đình và cộng đồng trong việc theo dõi sức khỏe, hỗ trợ chăm sóc và tạo điều kiện để người cao tuổi tiếp cận các dịch vụ chăm sóc sức khỏe phù hợp.</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5. Tổ chức thực hiện chính sách, pháp luật và kiểm tra, giám sát công tác chăm sóc người cao tuổi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thực hiện các chính sách, pháp luật về chăm sóc sức khỏe người cao tuổi theo thẩm quyền; phổ biến, hướng dẫn việc thực hiện các quy định liên quan đến công tác chăm sóc người cao tuổi.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Lồng ghép các nhiệm vụ chăm sóc sức khỏe người cao tuổi với các chương trình, đề án, kế hoạch có liên quan trên địa bàn, bảo đảm phù hợp với chức năng, nhiệm vụ và điều kiện thực tế của địa phương.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lastRenderedPageBreak/>
        <w:t xml:space="preserve">- </w:t>
      </w:r>
      <w:r>
        <w:rPr>
          <w:rFonts w:eastAsia="Calibri"/>
          <w:color w:val="auto"/>
          <w:kern w:val="2"/>
          <w14:ligatures w14:val="standardContextual"/>
        </w:rPr>
        <w:t>Tăng cường kiểm tra, giám sát việc thực hiện Kế hoạch; kịp thời phát hiện khó khăn, vướng mắc, tổng hợp và báo cáo cơ quan có thẩm quyền để được hướng dẫn, giải quyết theo quy định.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6. Bảo đảm nguồn lực thực hiện Kế hoạch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Chủ động bố trí nhân lực, lồng ghép nguồn lực và huy động các nguồn lực hợp pháp để thực hiện công tác chăm sóc sức khỏe người cao tuổi phù hợp với khả năng cân đối ngân sách và quy định phân cấp hiện hành.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Lồng ghép các hoạt động chăm sóc người cao tuổi với các chương trình, đề án, kế hoạch có liên quan; sử dụng kinh phí đúng mục đích, tiết kiệm, hiệu quả và theo quy định của pháp luật.</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Khuyến khích tổ chức, cá nhân, gia đình và cộng đồng tham gia hỗ trợ các hoạt động chăm sóc sức khỏe người cao tuổi trên cơ sở phù hợp, tự nguyện và đúng quy định.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V. KINH PHÍ THỰC HIỆN</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Kinh phí thực hiện Kế hoạch được bố trí từ nguồn ngân sách nhà nước theo phân cấp ngân sách hiện hành, nguồn xã hội hóa và các nguồn thu hợp pháp khác theo quy định của pháp luật.</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 xml:space="preserve">Hằng năm, căn cứ nhiệm vụ được giao, nhu cầu kinh phí thực hiện Kế hoạch và khả năng cân đối ngân sách địa phương, các cơ quan, đơn vị liên quan đề xuất kinh phí thực hiện theo quy định. Bộ phận được giao tham mưu về tài chính - ngân sách tổng hợp, tham mưu </w:t>
      </w:r>
      <w:r>
        <w:rPr>
          <w:rFonts w:eastAsia="Calibri"/>
          <w:color w:val="auto"/>
          <w:kern w:val="2"/>
          <w:szCs w:val="16"/>
          <w:lang w:val="vi-VN"/>
          <w14:ligatures w14:val="standardContextual"/>
        </w:rPr>
        <w:t>Ủy ban nhân dân xã</w:t>
      </w:r>
      <w:r>
        <w:rPr>
          <w:rFonts w:eastAsia="Calibri"/>
          <w:color w:val="auto"/>
          <w:kern w:val="2"/>
          <w14:ligatures w14:val="standardContextual"/>
        </w:rPr>
        <w:t xml:space="preserve"> xem xét, bố trí kinh phí trong phạm vi dự toán được giao và theo quy định hiện hành.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Việc quản lý, sử dụng kinh phí phải bảo đảm đúng mục đích, tiết kiệm, hiệu quả, công khai và tuân thủ quy định của pháp luật về ngân sách nhà nước.</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VI. TỔ CHỨC THỰC HIỆN</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 xml:space="preserve">1. </w:t>
      </w:r>
      <w:r>
        <w:rPr>
          <w:rFonts w:eastAsia="Calibri"/>
          <w:b/>
          <w:bCs/>
          <w:color w:val="auto"/>
          <w:kern w:val="2"/>
          <w:lang w:val="vi-VN"/>
          <w14:ligatures w14:val="standardContextual"/>
        </w:rPr>
        <w:t>Phòng</w:t>
      </w:r>
      <w:r>
        <w:rPr>
          <w:rFonts w:eastAsia="Calibri"/>
          <w:b/>
          <w:bCs/>
          <w:color w:val="auto"/>
          <w:kern w:val="2"/>
          <w14:ligatures w14:val="standardContextual"/>
        </w:rPr>
        <w:t xml:space="preserve"> Văn hóa - Xã hội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 xml:space="preserve">Chủ trì, phối hợp với Trạm Y tế, Hội Người cao tuổi và các cơ quan, đơn vị liên quan tham mưu </w:t>
      </w:r>
      <w:r>
        <w:rPr>
          <w:rFonts w:eastAsia="Calibri"/>
          <w:color w:val="auto"/>
          <w:kern w:val="2"/>
          <w:szCs w:val="16"/>
          <w:lang w:val="vi-VN"/>
          <w14:ligatures w14:val="standardContextual"/>
        </w:rPr>
        <w:t>Ủy ban nhân dân xã</w:t>
      </w:r>
      <w:r>
        <w:rPr>
          <w:rFonts w:eastAsia="Calibri"/>
          <w:color w:val="auto"/>
          <w:kern w:val="2"/>
          <w14:ligatures w14:val="standardContextual"/>
        </w:rPr>
        <w:t xml:space="preserve"> tổ chức triển khai thực hiện Kế hoạch; theo dõi tiến độ, đôn đốc các cơ quan, đơn vị thực hiện nhiệm vụ được giao.</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T</w:t>
      </w:r>
      <w:r>
        <w:rPr>
          <w:rFonts w:eastAsia="Calibri"/>
          <w:color w:val="auto"/>
          <w:kern w:val="2"/>
          <w14:ligatures w14:val="standardContextual"/>
        </w:rPr>
        <w:t>ổ chức tuyên truyền, phổ biến các chủ trương, chính sách, pháp luật về chăm sóc sức khỏe người cao tuổi; lồng ghép nội dung chăm sóc người cao tuổi trong các chương trình, kế hoạch có liên quan theo chức năng, nhiệm vụ.</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Theo dõi, tổng hợp tình hình, kết quả thực hiện Kế hoạch; phối hợp với Trạm Y tế xã và các cơ quan, đơn vị liên quan tham mưu UBND xã thực hiện chế độ thông tin, báo cáo định kỳ, đột xuất theo yêu cầu của cơ quan có thẩm quyền.</w:t>
      </w:r>
    </w:p>
    <w:p>
      <w:pPr>
        <w:spacing w:after="0" w:line="240" w:lineRule="auto"/>
        <w:ind w:firstLine="720"/>
        <w:jc w:val="both"/>
        <w:rPr>
          <w:rFonts w:eastAsia="Calibri"/>
          <w:b/>
          <w:bCs/>
          <w:color w:val="auto"/>
          <w:kern w:val="2"/>
          <w:lang w:val="vi-VN"/>
          <w14:ligatures w14:val="standardContextual"/>
        </w:rPr>
      </w:pPr>
      <w:r>
        <w:rPr>
          <w:rFonts w:eastAsia="Calibri"/>
          <w:b/>
          <w:bCs/>
          <w:color w:val="auto"/>
          <w:kern w:val="2"/>
          <w14:ligatures w14:val="standardContextual"/>
        </w:rPr>
        <w:t>2. Trạm Y tế xã</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Là đơn vị đầu mối triển khai các hoạt động chuyên môn về chăm sóc sức khỏe người cao tuổi trên địa bàn; căn cứ chức năng, nhiệm vụ, phạm vi hoạt động chuyên môn và hướng dẫn của ngành Y tế để tổ chức thực hiện các hoạt động chăm sóc sức khỏe người cao tuổi theo quy định.</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hoặc phối hợp triển khai khám sức khỏe định kỳ, khám sàng lọc cho người cao tuổi theo hướng dẫn chuyên môn và kế hoạch được cấp có thẩm quyền phê duyệt; lập, cập nhật hồ sơ theo dõi, quản lý sức khỏe người cao tuổi theo quy định.</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lastRenderedPageBreak/>
        <w:t xml:space="preserve">- </w:t>
      </w:r>
      <w:r>
        <w:rPr>
          <w:rFonts w:eastAsia="Calibri"/>
          <w:color w:val="auto"/>
          <w:kern w:val="2"/>
          <w14:ligatures w14:val="standardContextual"/>
        </w:rPr>
        <w:t>Thực hiện phát hiện sớm, theo dõi, quản lý và điều trị các bệnh không lây nhiễm trong phạm vi chuyên môn được phép; tư vấn, hướng dẫn người cao tuổi và gia đình về dinh dưỡng hợp lý, vận động phù hợp, phòng ngừa bệnh tật và kỹ năng tự chăm sóc sức khỏe. Phối hợp hoặc tổ chức khám bệnh, chữa bệnh tại nơi cư trú đối với người cao tuổi thuộc đối tượng theo quy định, bảo đảm phù hợp với phạm vi hoạt động chuyên môn và điều kiện thực tế.</w:t>
      </w:r>
    </w:p>
    <w:p>
      <w:pPr>
        <w:spacing w:after="0" w:line="240" w:lineRule="auto"/>
        <w:ind w:firstLine="720"/>
        <w:jc w:val="both"/>
        <w:rPr>
          <w:rFonts w:eastAsia="Calibri"/>
          <w:color w:val="auto"/>
          <w:kern w:val="2"/>
          <w:lang w:val="vi-VN"/>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với Phòng Văn hóa - Xã hội, Hội Người cao tuổi, các tổ chức liên quan và các thôn đẩy mạnh tuyên truyền, rà soát, nắm bắt nhu cầu chăm sóc sức khỏe người cao tuổi; hướng dẫn kiến thức, kỹ năng chăm sóc sức khỏe người cao tuổi tại gia đình và cộng đồng theo hướng dẫn chuyên môn.</w:t>
      </w:r>
    </w:p>
    <w:p>
      <w:pPr>
        <w:spacing w:after="0" w:line="240" w:lineRule="auto"/>
        <w:ind w:firstLine="720"/>
        <w:jc w:val="both"/>
        <w:rPr>
          <w:rFonts w:eastAsia="Calibri"/>
          <w:b/>
          <w:bCs/>
          <w:color w:val="auto"/>
          <w:kern w:val="2"/>
          <w:lang w:val="vi-VN"/>
          <w14:ligatures w14:val="standardContextual"/>
        </w:rPr>
      </w:pPr>
      <w:r>
        <w:rPr>
          <w:rFonts w:eastAsia="Calibri"/>
          <w:b/>
          <w:bCs/>
          <w:color w:val="auto"/>
          <w:kern w:val="2"/>
          <w14:ligatures w14:val="standardContextual"/>
        </w:rPr>
        <w:t xml:space="preserve">3. </w:t>
      </w:r>
      <w:r>
        <w:rPr>
          <w:rFonts w:eastAsia="Calibri"/>
          <w:b/>
          <w:bCs/>
          <w:color w:val="auto"/>
          <w:kern w:val="2"/>
          <w:highlight w:val="white"/>
          <w:lang w:val="vi-VN"/>
          <w14:ligatures w14:val="standardContextual"/>
        </w:rPr>
        <w:t xml:space="preserve">Phòng </w:t>
      </w:r>
      <w:r>
        <w:rPr>
          <w:rFonts w:eastAsia="Calibri"/>
          <w:b/>
          <w:bCs/>
          <w:color w:val="auto"/>
          <w:kern w:val="2"/>
          <w:lang w:val="vi-VN"/>
          <w14:ligatures w14:val="standardContextual"/>
        </w:rPr>
        <w:t>Kinh tế</w:t>
      </w:r>
    </w:p>
    <w:p>
      <w:pPr>
        <w:spacing w:after="0" w:line="240" w:lineRule="auto"/>
        <w:ind w:firstLine="720"/>
        <w:jc w:val="both"/>
        <w:rPr>
          <w:rFonts w:eastAsia="Calibri"/>
          <w:color w:val="auto"/>
          <w:kern w:val="2"/>
          <w14:ligatures w14:val="standardContextual"/>
        </w:rPr>
      </w:pPr>
      <w:r>
        <w:rPr>
          <w:rFonts w:eastAsia="Calibri"/>
          <w:color w:val="auto"/>
          <w:kern w:val="2"/>
          <w14:ligatures w14:val="standardContextual"/>
        </w:rPr>
        <w:t xml:space="preserve">Căn cứ nhiệm vụ của Kế hoạch, phối hợp với các cơ quan, đơn vị liên quan rà soát nhu cầu kinh phí, tham mưu </w:t>
      </w:r>
      <w:r>
        <w:rPr>
          <w:rFonts w:eastAsia="Calibri"/>
          <w:color w:val="auto"/>
          <w:kern w:val="2"/>
          <w:szCs w:val="16"/>
          <w:lang w:val="vi-VN"/>
          <w14:ligatures w14:val="standardContextual"/>
        </w:rPr>
        <w:t>Ủy ban nhân dân xã</w:t>
      </w:r>
      <w:r>
        <w:rPr>
          <w:rFonts w:eastAsia="Calibri"/>
          <w:color w:val="auto"/>
          <w:kern w:val="2"/>
          <w14:ligatures w14:val="standardContextual"/>
        </w:rPr>
        <w:t xml:space="preserve"> bố trí nguồn lực thực hiện theo khả năng cân đối ngân sách, phân cấp ngân sách và quy định của pháp luật; hướng dẫn việc quản lý, sử dụng, thanh quyết toán kinh phí theo quy định.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4. Đề nghị Ủy ban MTTQ Việt Nam xã và các tổ chức chính trị - xã hội</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tuyên truyền, vận động đoàn viên, hội viên và Nhân dân nâng cao nhận thức, trách nhiệm trong chăm sóc, bảo vệ sức khỏe người cao tuổi; vận động gia đình, cộng đồng tham gia thực hiện các mục tiêu của Kế hoạch.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Lồng ghép nội dung chăm sóc sức khỏe người cao tuổi trong các hoạt động của tổ chức mình; phối hợp huy động nguồn lực hợp pháp hỗ trợ các hoạt động chăm sóc người cao tuổi, nhất là người cao tuổi có hoàn cảnh khó khăn, người cao tuổi thuộc hộ nghèo, hộ cận nghèo và các đối tượng yếu thế.</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Tham gia giám sát việc thực hiện chính sách, pháp luật về chăm sóc và phát huy vai trò người cao tuổi theo chức năng, nhiệm vụ.</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5. Hội Người cao tuổi xã</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 xml:space="preserve">Phối hợp với </w:t>
      </w:r>
      <w:r>
        <w:rPr>
          <w:rFonts w:eastAsia="Calibri"/>
          <w:color w:val="auto"/>
          <w:kern w:val="2"/>
          <w:lang w:val="vi-VN"/>
          <w14:ligatures w14:val="standardContextual"/>
        </w:rPr>
        <w:t>Phòng</w:t>
      </w:r>
      <w:r>
        <w:rPr>
          <w:rFonts w:eastAsia="Calibri"/>
          <w:color w:val="auto"/>
          <w:kern w:val="2"/>
          <w14:ligatures w14:val="standardContextual"/>
        </w:rPr>
        <w:t xml:space="preserve"> Văn hóa - Xã hội, Trạm Y tế và các đơn vị liên quan tuyên truyền, vận động hội viên, người cao tuổi và Nhân dân tham gia thực hiện Kế hoạch.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Lồng ghép nội dung chăm sóc sức khỏe người cao tuổi vào hoạt động của Câu lạc bộ liên thế hệ tự giúp nhau và các mô hình câu lạc bộ người cao tuổi; phối hợp củng cố, phát triển câu lạc bộ chăm sóc người cao tuổi và đội tình nguyện viên tham gia chăm sóc người cao tuổi tại cộng đồng.</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rà soát, nắm bắt nhu cầu chăm sóc sức khỏe của hội viên, người cao tuổi; quan tâm, hỗ trợ người cao tuổi có hoàn cảnh khó khăn; vận động, huy động nguồn lực hợp pháp để triển khai các hoạt động theo quy định.</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6. Các thôn</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Tổ chức tuyên truyền, phổ biến các nội dung của Kế hoạch đến người dân; vận động gia đình quan tâm chăm sóc, bảo vệ sức khỏe người cao tuổi và tạo điều kiện để người cao tuổi tiếp cận các dịch vụ chăm sóc sức khỏe.</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Phối hợp với Trạm Y tế, Hội Người cao tuổi và các đơn vị liên quan rà soát, nắm bắt nhu cầu chăm sóc sức khỏe người cao tuổi trên địa bàn; hỗ trợ triển khai các hoạt động khám sức khỏe, truyền thông, tư vấn và chăm sóc người cao tuổi tại cộng đồng theo hướng dẫn.</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lastRenderedPageBreak/>
        <w:t xml:space="preserve">- </w:t>
      </w:r>
      <w:r>
        <w:rPr>
          <w:rFonts w:eastAsia="Calibri"/>
          <w:color w:val="auto"/>
          <w:kern w:val="2"/>
          <w14:ligatures w14:val="standardContextual"/>
        </w:rPr>
        <w:t>Phối hợp vận động, phát triển các mô hình câu lạc bộ, đội tình nguyện viên chăm sóc người cao tuổi phù hợp với điều kiện thực tế; quan tâm người cao tuổi cô đơn, bệnh tật, có hoàn cảnh khó khăn.</w:t>
      </w:r>
    </w:p>
    <w:p>
      <w:pPr>
        <w:spacing w:after="0" w:line="240" w:lineRule="auto"/>
        <w:ind w:firstLine="720"/>
        <w:jc w:val="both"/>
        <w:rPr>
          <w:rFonts w:eastAsia="Calibri"/>
          <w:b/>
          <w:bCs/>
          <w:color w:val="auto"/>
          <w:kern w:val="2"/>
          <w14:ligatures w14:val="standardContextual"/>
        </w:rPr>
      </w:pPr>
      <w:r>
        <w:rPr>
          <w:rFonts w:eastAsia="Calibri"/>
          <w:b/>
          <w:bCs/>
          <w:color w:val="auto"/>
          <w:kern w:val="2"/>
          <w14:ligatures w14:val="standardContextual"/>
        </w:rPr>
        <w:t>7. Chế độ thông tin, báo cáo</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Các cơ quan, đơn vị được giao nhiệm vụ tại Kế hoạch có trách nhiệm chủ động theo dõi, kiểm tra, đôn đốc và tổng hợp tình hình, kết quả thực hiện các nhiệm vụ được phân công; định kỳ hằng quý, hằng năm hoặc đột xuất khi có yêu cầu, báo cáo Ủy ban nhân dân xã và cơ quan có thẩm quyền theo quy định.</w:t>
      </w:r>
    </w:p>
    <w:p>
      <w:pPr>
        <w:spacing w:after="0" w:line="240" w:lineRule="auto"/>
        <w:ind w:firstLine="720"/>
        <w:jc w:val="both"/>
        <w:rPr>
          <w:rFonts w:eastAsia="Calibri"/>
          <w:color w:val="auto"/>
          <w:kern w:val="2"/>
          <w14:ligatures w14:val="standardContextual"/>
        </w:rPr>
      </w:pPr>
      <w:r>
        <w:rPr>
          <w:rFonts w:eastAsia="Calibri"/>
          <w:color w:val="auto"/>
          <w:kern w:val="2"/>
          <w:lang w:val="vi-VN"/>
          <w14:ligatures w14:val="standardContextual"/>
        </w:rPr>
        <w:t xml:space="preserve">- </w:t>
      </w:r>
      <w:r>
        <w:rPr>
          <w:rFonts w:eastAsia="Calibri"/>
          <w:color w:val="auto"/>
          <w:kern w:val="2"/>
          <w14:ligatures w14:val="standardContextual"/>
        </w:rPr>
        <w:t>Báo cáo kết quả thực hiện hằng năm gửi Sở Y tế trước ngày 30 tháng 11 để tổng hợp, báo cáo theo quy định; bảo đảm thời gian và nội dung báo cáo theo yêu cầu tại Kế hoạch số 727/KH-UBND ngày 13 tháng 10 năm 2026 của Ủy ban nhân dân tỉnh Hà Tĩnh.</w:t>
      </w:r>
      <w:bookmarkStart w:id="0" w:name="_GoBack"/>
      <w:bookmarkEnd w:id="0"/>
    </w:p>
    <w:p>
      <w:pPr>
        <w:spacing w:after="100" w:afterAutospacing="1" w:line="240" w:lineRule="auto"/>
        <w:ind w:firstLine="720"/>
        <w:jc w:val="both"/>
        <w:rPr>
          <w:rFonts w:eastAsia="Calibri"/>
          <w:color w:val="auto"/>
          <w:kern w:val="2"/>
          <w:lang w:val="vi-VN"/>
          <w14:ligatures w14:val="standardContextual"/>
        </w:rPr>
      </w:pPr>
      <w:r>
        <w:rPr>
          <w:rFonts w:eastAsia="Calibri"/>
          <w:color w:val="auto"/>
          <w:kern w:val="2"/>
          <w14:ligatures w14:val="standardContextual"/>
        </w:rPr>
        <w:t>Trên đây là Kế hoạch chăm sóc sức khỏe người cao tuổi giai đoạn 2026–2030 trên địa bàn xã Hương Sơn. Yêu cầu các cơ quan, đơn vị liên quan căn cứ chức năng, nhiệm vụ được giao nghiêm túc triển khai thực hiện./.</w:t>
      </w:r>
    </w:p>
    <w:tbl>
      <w:tblPr>
        <w:tblW w:w="0" w:type="auto"/>
        <w:tblBorders>
          <w:insideH w:val="single" w:sz="4" w:space="0" w:color="auto"/>
        </w:tblBorders>
        <w:tblLook w:val="01E0" w:firstRow="1" w:lastRow="1" w:firstColumn="1" w:lastColumn="1" w:noHBand="0" w:noVBand="0"/>
      </w:tblPr>
      <w:tblGrid>
        <w:gridCol w:w="4490"/>
        <w:gridCol w:w="4582"/>
      </w:tblGrid>
      <w:tr>
        <w:tc>
          <w:tcPr>
            <w:tcW w:w="4690" w:type="dxa"/>
          </w:tcPr>
          <w:p>
            <w:pPr>
              <w:tabs>
                <w:tab w:val="left" w:pos="1590"/>
              </w:tabs>
              <w:spacing w:after="0" w:line="240" w:lineRule="auto"/>
              <w:jc w:val="both"/>
              <w:rPr>
                <w:rFonts w:eastAsia="Calibri"/>
                <w:i/>
                <w:iCs/>
                <w:color w:val="auto"/>
                <w:kern w:val="2"/>
                <w:sz w:val="24"/>
                <w:szCs w:val="24"/>
                <w:lang w:val="nl-NL"/>
                <w14:ligatures w14:val="standardContextual"/>
              </w:rPr>
            </w:pPr>
            <w:r>
              <w:rPr>
                <w:rFonts w:eastAsia="Calibri"/>
                <w:b/>
                <w:bCs/>
                <w:i/>
                <w:iCs/>
                <w:color w:val="auto"/>
                <w:kern w:val="2"/>
                <w:sz w:val="24"/>
                <w:szCs w:val="24"/>
                <w:lang w:val="nl-NL"/>
                <w14:ligatures w14:val="standardContextual"/>
              </w:rPr>
              <w:t>Nơi nhận</w:t>
            </w:r>
            <w:r>
              <w:rPr>
                <w:rFonts w:eastAsia="Calibri"/>
                <w:i/>
                <w:iCs/>
                <w:color w:val="auto"/>
                <w:kern w:val="2"/>
                <w:sz w:val="24"/>
                <w:szCs w:val="24"/>
                <w:lang w:val="nl-NL"/>
                <w14:ligatures w14:val="standardContextual"/>
              </w:rPr>
              <w:t>:</w:t>
            </w:r>
            <w:r>
              <w:rPr>
                <w:rFonts w:eastAsia="Calibri"/>
                <w:i/>
                <w:iCs/>
                <w:color w:val="auto"/>
                <w:kern w:val="2"/>
                <w:sz w:val="24"/>
                <w:szCs w:val="24"/>
                <w:lang w:val="nl-NL"/>
                <w14:ligatures w14:val="standardContextual"/>
              </w:rPr>
              <w:tab/>
            </w:r>
          </w:p>
          <w:p>
            <w:pPr>
              <w:spacing w:after="0" w:line="240" w:lineRule="auto"/>
              <w:jc w:val="both"/>
              <w:rPr>
                <w:rFonts w:eastAsia="Calibri"/>
                <w:color w:val="auto"/>
                <w:kern w:val="2"/>
                <w:sz w:val="22"/>
                <w:szCs w:val="22"/>
                <w:lang w:val="nl-NL"/>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UBND tỉnh Hà Tĩnh (</w:t>
            </w:r>
            <w:r>
              <w:rPr>
                <w:rFonts w:eastAsia="Calibri"/>
                <w:color w:val="auto"/>
                <w:kern w:val="2"/>
                <w:sz w:val="22"/>
                <w:szCs w:val="22"/>
                <w:lang w:val="vi-VN"/>
                <w14:ligatures w14:val="standardContextual"/>
              </w:rPr>
              <w:t xml:space="preserve">để </w:t>
            </w:r>
            <w:r>
              <w:rPr>
                <w:rFonts w:eastAsia="Calibri"/>
                <w:color w:val="auto"/>
                <w:kern w:val="2"/>
                <w:sz w:val="22"/>
                <w:szCs w:val="22"/>
                <w:lang w:val="nl-NL"/>
                <w14:ligatures w14:val="standardContextual"/>
              </w:rPr>
              <w:t>b/c);</w:t>
            </w:r>
          </w:p>
          <w:p>
            <w:pPr>
              <w:spacing w:after="0" w:line="240" w:lineRule="auto"/>
              <w:jc w:val="both"/>
              <w:rPr>
                <w:rFonts w:eastAsia="Calibri"/>
                <w:color w:val="auto"/>
                <w:kern w:val="2"/>
                <w:sz w:val="22"/>
                <w:szCs w:val="22"/>
                <w:lang w:val="nl-NL"/>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Sở Y tế Hà Tĩnh (</w:t>
            </w:r>
            <w:r>
              <w:rPr>
                <w:rFonts w:eastAsia="Calibri"/>
                <w:color w:val="auto"/>
                <w:kern w:val="2"/>
                <w:sz w:val="22"/>
                <w:szCs w:val="22"/>
                <w:lang w:val="vi-VN"/>
                <w14:ligatures w14:val="standardContextual"/>
              </w:rPr>
              <w:t xml:space="preserve">để </w:t>
            </w:r>
            <w:r>
              <w:rPr>
                <w:rFonts w:eastAsia="Calibri"/>
                <w:color w:val="auto"/>
                <w:kern w:val="2"/>
                <w:sz w:val="22"/>
                <w:szCs w:val="22"/>
                <w:lang w:val="nl-NL"/>
                <w14:ligatures w14:val="standardContextual"/>
              </w:rPr>
              <w:t>b/c);</w:t>
            </w:r>
          </w:p>
          <w:p>
            <w:pPr>
              <w:spacing w:after="0" w:line="240" w:lineRule="auto"/>
              <w:jc w:val="both"/>
              <w:rPr>
                <w:rFonts w:eastAsia="Calibri"/>
                <w:color w:val="auto"/>
                <w:kern w:val="2"/>
                <w:sz w:val="22"/>
                <w:szCs w:val="22"/>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14:ligatures w14:val="standardContextual"/>
              </w:rPr>
              <w:t>Thường trực: Đảng ủy, HĐND xã (để b</w:t>
            </w:r>
            <w:r>
              <w:rPr>
                <w:rFonts w:eastAsia="Calibri"/>
                <w:color w:val="auto"/>
                <w:kern w:val="2"/>
                <w:sz w:val="22"/>
                <w:szCs w:val="22"/>
                <w:lang w:val="vi-VN"/>
                <w14:ligatures w14:val="standardContextual"/>
              </w:rPr>
              <w:t>/c</w:t>
            </w:r>
            <w:r>
              <w:rPr>
                <w:rFonts w:eastAsia="Calibri"/>
                <w:color w:val="auto"/>
                <w:kern w:val="2"/>
                <w:sz w:val="22"/>
                <w:szCs w:val="22"/>
                <w14:ligatures w14:val="standardContextual"/>
              </w:rPr>
              <w:t>)</w:t>
            </w:r>
            <w:r>
              <w:rPr>
                <w:rFonts w:eastAsia="Calibri"/>
                <w:color w:val="auto"/>
                <w:kern w:val="2"/>
                <w:sz w:val="22"/>
                <w:szCs w:val="22"/>
                <w:lang w:val="nl-NL"/>
                <w14:ligatures w14:val="standardContextual"/>
              </w:rPr>
              <w:t>;</w:t>
            </w:r>
          </w:p>
          <w:p>
            <w:pPr>
              <w:spacing w:after="0" w:line="240" w:lineRule="auto"/>
              <w:jc w:val="both"/>
              <w:rPr>
                <w:rFonts w:eastAsia="Calibri"/>
                <w:color w:val="auto"/>
                <w:kern w:val="2"/>
                <w:sz w:val="22"/>
                <w:szCs w:val="22"/>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14:ligatures w14:val="standardContextual"/>
              </w:rPr>
              <w:t>Chủ tịch, các Phó Chủ tịch UBND xã</w:t>
            </w:r>
            <w:r>
              <w:rPr>
                <w:rFonts w:eastAsia="Calibri"/>
                <w:color w:val="auto"/>
                <w:kern w:val="2"/>
                <w:sz w:val="22"/>
                <w:szCs w:val="22"/>
                <w:lang w:val="nl-NL"/>
                <w14:ligatures w14:val="standardContextual"/>
              </w:rPr>
              <w:t>;</w:t>
            </w:r>
          </w:p>
          <w:p>
            <w:pPr>
              <w:spacing w:after="0" w:line="240" w:lineRule="auto"/>
              <w:jc w:val="both"/>
              <w:rPr>
                <w:rFonts w:eastAsia="Calibri"/>
                <w:color w:val="auto"/>
                <w:kern w:val="2"/>
                <w:sz w:val="22"/>
                <w:szCs w:val="22"/>
                <w:lang w:val="nl-NL"/>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Ủy ban MTTQ và các tổ chức chính trị - xã hội;</w:t>
            </w:r>
          </w:p>
          <w:p>
            <w:pPr>
              <w:spacing w:after="0" w:line="240" w:lineRule="auto"/>
              <w:jc w:val="both"/>
              <w:rPr>
                <w:rFonts w:eastAsia="Calibri"/>
                <w:color w:val="auto"/>
                <w:kern w:val="2"/>
                <w:sz w:val="22"/>
                <w:szCs w:val="22"/>
                <w:lang w:val="vi-VN"/>
                <w14:ligatures w14:val="standardContextual"/>
              </w:rPr>
            </w:pPr>
            <w:r>
              <w:rPr>
                <w:rFonts w:eastAsia="Calibri"/>
                <w:color w:val="auto"/>
                <w:kern w:val="2"/>
                <w:sz w:val="22"/>
                <w:szCs w:val="22"/>
                <w:lang w:val="vi-VN"/>
                <w14:ligatures w14:val="standardContextual"/>
              </w:rPr>
              <w:t>- Các phòng chuyên môn thuộc UBND xã;</w:t>
            </w:r>
          </w:p>
          <w:p>
            <w:pPr>
              <w:spacing w:after="0" w:line="240" w:lineRule="auto"/>
              <w:jc w:val="both"/>
              <w:rPr>
                <w:rFonts w:eastAsia="Calibri"/>
                <w:color w:val="auto"/>
                <w:kern w:val="2"/>
                <w:sz w:val="22"/>
                <w:lang w:val="vi-VN"/>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lang w:val="vi-VN"/>
                <w14:ligatures w14:val="standardContextual"/>
              </w:rPr>
              <w:t>Trạm Y tế xã;</w:t>
            </w:r>
          </w:p>
          <w:p>
            <w:pPr>
              <w:spacing w:after="0" w:line="240" w:lineRule="auto"/>
              <w:jc w:val="both"/>
              <w:rPr>
                <w:rFonts w:eastAsia="Calibri"/>
                <w:color w:val="auto"/>
                <w:kern w:val="2"/>
                <w:sz w:val="22"/>
                <w:szCs w:val="22"/>
                <w:lang w:val="vi-VN"/>
                <w14:ligatures w14:val="standardContextual"/>
              </w:rPr>
            </w:pPr>
            <w:r>
              <w:rPr>
                <w:rFonts w:eastAsia="Calibri"/>
                <w:color w:val="auto"/>
                <w:kern w:val="2"/>
                <w:sz w:val="22"/>
                <w:lang w:val="vi-VN"/>
                <w14:ligatures w14:val="standardContextual"/>
              </w:rPr>
              <w:t>- Hội Người cao tuổi xã;</w:t>
            </w:r>
          </w:p>
          <w:p>
            <w:pPr>
              <w:spacing w:after="0" w:line="240" w:lineRule="auto"/>
              <w:jc w:val="both"/>
              <w:rPr>
                <w:rFonts w:eastAsia="Calibri"/>
                <w:color w:val="auto"/>
                <w:kern w:val="2"/>
                <w:sz w:val="22"/>
                <w:szCs w:val="22"/>
                <w:lang w:val="nl-NL"/>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Các cơ quan, đơn vị có</w:t>
            </w: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liên quan;</w:t>
            </w:r>
          </w:p>
          <w:p>
            <w:pPr>
              <w:spacing w:after="0" w:line="240" w:lineRule="auto"/>
              <w:jc w:val="both"/>
              <w:rPr>
                <w:rFonts w:eastAsia="Calibri"/>
                <w:color w:val="auto"/>
                <w:kern w:val="2"/>
                <w:sz w:val="22"/>
                <w:szCs w:val="22"/>
                <w:lang w:val="nl-NL"/>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Các thôn;</w:t>
            </w:r>
          </w:p>
          <w:p>
            <w:pPr>
              <w:spacing w:after="0" w:line="240" w:lineRule="auto"/>
              <w:rPr>
                <w:rFonts w:eastAsia="Calibri"/>
                <w:color w:val="auto"/>
                <w:kern w:val="2"/>
                <w:sz w:val="22"/>
                <w:szCs w:val="22"/>
                <w:lang w:val="vi-VN"/>
                <w14:ligatures w14:val="standardContextual"/>
              </w:rPr>
            </w:pPr>
            <w:r>
              <w:rPr>
                <w:rFonts w:eastAsia="Calibri"/>
                <w:color w:val="auto"/>
                <w:kern w:val="2"/>
                <w:sz w:val="22"/>
                <w:szCs w:val="22"/>
                <w:lang w:val="vi-VN"/>
                <w14:ligatures w14:val="standardContextual"/>
              </w:rPr>
              <w:t xml:space="preserve">- </w:t>
            </w:r>
            <w:r>
              <w:rPr>
                <w:rFonts w:eastAsia="Calibri"/>
                <w:color w:val="auto"/>
                <w:kern w:val="2"/>
                <w:sz w:val="22"/>
                <w:szCs w:val="22"/>
                <w:lang w:val="nl-NL"/>
                <w14:ligatures w14:val="standardContextual"/>
              </w:rPr>
              <w:t xml:space="preserve">Lưu: VT, </w:t>
            </w:r>
            <w:r>
              <w:rPr>
                <w:rFonts w:eastAsia="Calibri"/>
                <w:color w:val="auto"/>
                <w:kern w:val="2"/>
                <w:sz w:val="22"/>
                <w:szCs w:val="22"/>
                <w:lang w:val="vi-VN"/>
                <w14:ligatures w14:val="standardContextual"/>
              </w:rPr>
              <w:t>VHXH.</w:t>
            </w:r>
          </w:p>
        </w:tc>
        <w:tc>
          <w:tcPr>
            <w:tcW w:w="4774" w:type="dxa"/>
          </w:tcPr>
          <w:p>
            <w:pPr>
              <w:spacing w:after="0" w:line="240" w:lineRule="auto"/>
              <w:jc w:val="center"/>
              <w:rPr>
                <w:rFonts w:eastAsia="Calibri"/>
                <w:b/>
                <w:bCs/>
                <w:color w:val="auto"/>
                <w:kern w:val="2"/>
                <w:sz w:val="26"/>
                <w14:ligatures w14:val="standardContextual"/>
              </w:rPr>
            </w:pPr>
            <w:r>
              <w:rPr>
                <w:rFonts w:eastAsia="Calibri"/>
                <w:b/>
                <w:bCs/>
                <w:color w:val="auto"/>
                <w:kern w:val="2"/>
                <w:sz w:val="26"/>
                <w14:ligatures w14:val="standardContextual"/>
              </w:rPr>
              <w:t>TM. ỦY BAN NHÂN DÂN</w:t>
            </w:r>
          </w:p>
          <w:p>
            <w:pPr>
              <w:spacing w:after="0" w:line="240" w:lineRule="auto"/>
              <w:jc w:val="center"/>
              <w:rPr>
                <w:rFonts w:eastAsia="Calibri"/>
                <w:b/>
                <w:bCs/>
                <w:color w:val="auto"/>
                <w:kern w:val="2"/>
                <w:sz w:val="26"/>
                <w14:ligatures w14:val="standardContextual"/>
              </w:rPr>
            </w:pPr>
            <w:r>
              <w:rPr>
                <w:rFonts w:eastAsia="Calibri"/>
                <w:b/>
                <w:bCs/>
                <w:color w:val="auto"/>
                <w:kern w:val="2"/>
                <w:sz w:val="26"/>
                <w14:ligatures w14:val="standardContextual"/>
              </w:rPr>
              <w:t>KT. CHỦ TỊCH</w:t>
            </w:r>
          </w:p>
          <w:p>
            <w:pPr>
              <w:spacing w:after="0" w:line="240" w:lineRule="auto"/>
              <w:jc w:val="center"/>
              <w:rPr>
                <w:rFonts w:eastAsia="Calibri"/>
                <w:b/>
                <w:bCs/>
                <w:color w:val="auto"/>
                <w:kern w:val="2"/>
                <w:sz w:val="26"/>
                <w14:ligatures w14:val="standardContextual"/>
              </w:rPr>
            </w:pPr>
            <w:r>
              <w:rPr>
                <w:rFonts w:eastAsia="Calibri"/>
                <w:b/>
                <w:bCs/>
                <w:color w:val="auto"/>
                <w:kern w:val="2"/>
                <w:sz w:val="26"/>
                <w14:ligatures w14:val="standardContextual"/>
              </w:rPr>
              <w:t>PHÓ CHỦ TỊCH</w:t>
            </w:r>
          </w:p>
          <w:p>
            <w:pPr>
              <w:spacing w:after="0" w:line="240" w:lineRule="auto"/>
              <w:jc w:val="center"/>
              <w:rPr>
                <w:rFonts w:eastAsia="Calibri"/>
                <w:b/>
                <w:bCs/>
                <w:color w:val="auto"/>
                <w:kern w:val="2"/>
                <w14:ligatures w14:val="standardContextual"/>
              </w:rPr>
            </w:pPr>
          </w:p>
          <w:p>
            <w:pPr>
              <w:spacing w:after="0" w:line="240" w:lineRule="auto"/>
              <w:jc w:val="center"/>
              <w:rPr>
                <w:rFonts w:eastAsia="Calibri"/>
                <w:b/>
                <w:bCs/>
                <w:color w:val="auto"/>
                <w:kern w:val="2"/>
                <w14:ligatures w14:val="standardContextual"/>
              </w:rPr>
            </w:pPr>
          </w:p>
          <w:p>
            <w:pPr>
              <w:spacing w:after="0" w:line="240" w:lineRule="auto"/>
              <w:jc w:val="center"/>
              <w:rPr>
                <w:rFonts w:eastAsia="Calibri"/>
                <w:b/>
                <w:bCs/>
                <w:color w:val="auto"/>
                <w:kern w:val="2"/>
                <w14:ligatures w14:val="standardContextual"/>
              </w:rPr>
            </w:pPr>
          </w:p>
          <w:p>
            <w:pPr>
              <w:spacing w:after="0" w:line="240" w:lineRule="auto"/>
              <w:rPr>
                <w:rFonts w:eastAsia="Calibri"/>
                <w:b/>
                <w:bCs/>
                <w:color w:val="auto"/>
                <w:kern w:val="2"/>
                <w14:ligatures w14:val="standardContextual"/>
              </w:rPr>
            </w:pPr>
          </w:p>
          <w:p>
            <w:pPr>
              <w:spacing w:after="0" w:line="240" w:lineRule="auto"/>
              <w:rPr>
                <w:rFonts w:eastAsia="Calibri"/>
                <w:b/>
                <w:bCs/>
                <w:color w:val="auto"/>
                <w:kern w:val="2"/>
                <w14:ligatures w14:val="standardContextual"/>
              </w:rPr>
            </w:pPr>
          </w:p>
          <w:p>
            <w:pPr>
              <w:spacing w:after="0" w:line="240" w:lineRule="auto"/>
              <w:jc w:val="center"/>
              <w:rPr>
                <w:rFonts w:eastAsia="Calibri"/>
                <w:b/>
                <w:bCs/>
                <w:color w:val="auto"/>
                <w:kern w:val="2"/>
                <w:lang w:val="vi-VN"/>
                <w14:ligatures w14:val="standardContextual"/>
              </w:rPr>
            </w:pPr>
            <w:r>
              <w:rPr>
                <w:rFonts w:eastAsia="Calibri"/>
                <w:b/>
                <w:bCs/>
                <w:color w:val="auto"/>
                <w:kern w:val="2"/>
                <w14:ligatures w14:val="standardContextual"/>
              </w:rPr>
              <w:t>Nguyễn</w:t>
            </w:r>
            <w:r>
              <w:rPr>
                <w:rFonts w:eastAsia="Calibri"/>
                <w:b/>
                <w:bCs/>
                <w:color w:val="auto"/>
                <w:kern w:val="2"/>
                <w:lang w:val="vi-VN"/>
                <w14:ligatures w14:val="standardContextual"/>
              </w:rPr>
              <w:t xml:space="preserve"> Tiến Thích</w:t>
            </w:r>
          </w:p>
        </w:tc>
      </w:tr>
    </w:tbl>
    <w:p/>
    <w:sectPr>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3C627-CDBD-4B7E-BDBE-48C949D3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EEE40-6B2F-41F9-8C31-80F2BBDCF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2718</Words>
  <Characters>15499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ADMIN</cp:lastModifiedBy>
  <cp:revision>58</cp:revision>
  <dcterms:created xsi:type="dcterms:W3CDTF">2026-10-16T07:55:00Z</dcterms:created>
  <dcterms:modified xsi:type="dcterms:W3CDTF">2026-10-19T04:02:00Z</dcterms:modified>
</cp:coreProperties>
</file>